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cs="Arial"/>
          <w:b/>
          <w:i w:val="0"/>
          <w:sz w:val="56"/>
        </w:rPr>
        <w:t>Oligool: Project Features &amp; Workflow</w:t>
      </w:r>
    </w:p>
    <w:p>
      <w:pPr>
        <w:spacing w:after="0"/>
        <w:jc w:val="center"/>
      </w:pPr>
      <w:r>
        <w:rPr>
          <w:rFonts w:ascii="Arial" w:hAnsi="Arial" w:cs="Arial"/>
          <w:b w:val="0"/>
          <w:i w:val="0"/>
          <w:sz w:val="28"/>
        </w:rPr>
        <w:t>Mgr. Vojtěch Rejtar</w:t>
      </w:r>
    </w:p>
    <w:p>
      <w:pPr>
        <w:spacing w:after="240"/>
        <w:jc w:val="center"/>
      </w:pPr>
      <w:r>
        <w:rPr>
          <w:rFonts w:ascii="Arial" w:hAnsi="Arial" w:cs="Arial"/>
          <w:b w:val="0"/>
          <w:i w:val="0"/>
          <w:sz w:val="28"/>
        </w:rPr>
        <w:t>February 24, 2026</w:t>
      </w:r>
    </w:p>
    <w:p>
      <w:pPr>
        <w:spacing w:before="240" w:after="120"/>
      </w:pPr>
      <w:r>
        <w:rPr>
          <w:rFonts w:ascii="Arial" w:hAnsi="Arial" w:cs="Arial"/>
          <w:b/>
          <w:i w:val="0"/>
          <w:sz w:val="40"/>
        </w:rPr>
        <w:t>Oligool: Project Overview</w:t>
      </w:r>
    </w:p>
    <w:p>
      <w:pPr>
        <w:spacing w:after="120"/>
      </w:pPr>
      <w:r>
        <w:rPr>
          <w:rFonts w:ascii="Arial" w:hAnsi="Arial" w:cs="Arial"/>
          <w:b/>
          <w:i w:val="0"/>
          <w:sz w:val="24"/>
        </w:rPr>
        <w:t xml:space="preserve">Author: </w:t>
      </w:r>
      <w:r>
        <w:rPr>
          <w:rFonts w:ascii="Arial" w:hAnsi="Arial" w:cs="Arial"/>
          <w:b w:val="0"/>
          <w:i w:val="0"/>
          <w:sz w:val="24"/>
        </w:rPr>
        <w:t>Mgr. Vojtěch Rejtar</w:t>
      </w:r>
      <w:r>
        <w:rPr>
          <w:rFonts w:ascii="Arial" w:hAnsi="Arial" w:cs="Arial"/>
          <w:b w:val="0"/>
          <w:i w:val="0"/>
          <w:sz w:val="24"/>
        </w:rPr>
        <w:t xml:space="preserve">  </w:t>
      </w:r>
      <w:r>
        <w:rPr>
          <w:rFonts w:ascii="Arial" w:hAnsi="Arial" w:cs="Arial"/>
          <w:b/>
          <w:i w:val="0"/>
          <w:sz w:val="24"/>
        </w:rPr>
        <w:t xml:space="preserve">Date: </w:t>
      </w:r>
      <w:r>
        <w:rPr>
          <w:rFonts w:ascii="Arial" w:hAnsi="Arial" w:cs="Arial"/>
          <w:b w:val="0"/>
          <w:i w:val="0"/>
          <w:sz w:val="24"/>
        </w:rPr>
        <w:t>February 24, 2026</w:t>
      </w:r>
      <w:r>
        <w:rPr>
          <w:rFonts w:ascii="Arial" w:hAnsi="Arial" w:cs="Arial"/>
          <w:b w:val="0"/>
          <w:i w:val="0"/>
          <w:sz w:val="24"/>
        </w:rPr>
        <w:t xml:space="preserve">  </w:t>
      </w:r>
      <w:r>
        <w:rPr>
          <w:rFonts w:ascii="Arial" w:hAnsi="Arial" w:cs="Arial"/>
          <w:b/>
          <w:i w:val="0"/>
          <w:sz w:val="24"/>
        </w:rPr>
        <w:t xml:space="preserve">Project: </w:t>
      </w:r>
      <w:r>
        <w:rPr>
          <w:rFonts w:ascii="Arial" w:hAnsi="Arial" w:cs="Arial"/>
          <w:b w:val="0"/>
          <w:i w:val="0"/>
          <w:sz w:val="24"/>
        </w:rPr>
        <w:t>Oligool</w:t>
      </w:r>
    </w:p>
    <w:p>
      <w:pPr>
        <w:spacing w:before="120" w:after="120"/>
      </w:pPr>
      <w:r>
        <w:rPr>
          <w:rFonts w:ascii="Arial" w:hAnsi="Arial" w:cs="Arial"/>
          <w:b w:val="0"/>
          <w:i w:val="0"/>
          <w:sz w:val="24"/>
        </w:rPr>
        <w:t>Oligool is a native desktop application designed to streamline the design, alignment, and analysis of genetic sequences and custom oligos for molecular biologists.</w:t>
      </w:r>
    </w:p>
    <w:p>
      <w:pPr>
        <w:spacing w:before="120" w:after="120"/>
        <w:pBdr>
          <w:bottom w:val="single" w:sz="6" w:space="1" w:color="auto"/>
        </w:pBdr>
      </w:pPr>
    </w:p>
    <w:p>
      <w:pPr>
        <w:spacing w:before="120" w:after="120"/>
      </w:pPr>
      <w:r>
        <w:rPr>
          <w:rFonts w:ascii="Arial" w:hAnsi="Arial" w:cs="Arial"/>
          <w:b/>
          <w:i w:val="0"/>
          <w:sz w:val="32"/>
        </w:rPr>
        <w:t>Features and Capabilities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1. </w:t>
      </w:r>
      <w:r>
        <w:rPr>
          <w:rFonts w:ascii="Arial" w:hAnsi="Arial" w:cs="Arial"/>
          <w:b/>
          <w:i w:val="0"/>
          <w:sz w:val="24"/>
        </w:rPr>
        <w:t>Dual-Source Search &amp; Fetch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Seamless toggling between NCBI and Ensembl data sources for finding genes and transcripts.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Smart filtering with persistent search parameters (E-value, Identity %, Organism) that survive application restarts.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2. </w:t>
      </w:r>
      <w:r>
        <w:rPr>
          <w:rFonts w:ascii="Arial" w:hAnsi="Arial" w:cs="Arial"/>
          <w:b/>
          <w:i w:val="0"/>
          <w:sz w:val="24"/>
        </w:rPr>
        <w:t>Interactive MSA Viewer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High-performance Multiple Sequence Alignment powered by MAFFT.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2D Navigation via an interactive minimap for scrubbing through massive alignments, highlighting conservation patterns, and identifying variations.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3. </w:t>
      </w:r>
      <w:r>
        <w:rPr>
          <w:rFonts w:ascii="Arial" w:hAnsi="Arial" w:cs="Arial"/>
          <w:b/>
          <w:i w:val="0"/>
          <w:sz w:val="24"/>
        </w:rPr>
        <w:t>“Oligize!” Design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Precision splitting of genomic regions into two contiguous oligos with exact control over shift and lengths.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Live integration with IDT OligoAnalyzer to evaluate hairpin formation and self-dimerization in real time (Delta G).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4. </w:t>
      </w:r>
      <w:r>
        <w:rPr>
          <w:rFonts w:ascii="Arial" w:hAnsi="Arial" w:cs="Arial"/>
          <w:b/>
          <w:i w:val="0"/>
          <w:sz w:val="24"/>
        </w:rPr>
        <w:t>“Primerize!” Schematic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High-fidelity SVG visual assembly of your molecular design, accurately representing Forward and Reverse Primer Binding Sites (PBS) and TAG sequences.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/>
          <w:i w:val="0"/>
          <w:sz w:val="24"/>
        </w:rPr>
        <w:t xml:space="preserve">Seq Mode: </w:t>
      </w:r>
      <w:r>
        <w:rPr>
          <w:rFonts w:ascii="Arial" w:hAnsi="Arial" w:cs="Arial"/>
          <w:b w:val="0"/>
          <w:i w:val="0"/>
          <w:sz w:val="24"/>
        </w:rPr>
        <w:t>Toggle to a high-detail view displaying base-by-base lettering along the schematics architecture.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/>
          <w:i w:val="0"/>
          <w:sz w:val="24"/>
        </w:rPr>
        <w:t xml:space="preserve">Persistence: </w:t>
      </w:r>
      <w:r>
        <w:rPr>
          <w:rFonts w:ascii="Arial" w:hAnsi="Arial" w:cs="Arial"/>
          <w:b w:val="0"/>
          <w:i w:val="0"/>
          <w:sz w:val="24"/>
        </w:rPr>
        <w:t>Local storage of user TAGs, PBS sequences, and design preferences.</w:t>
      </w:r>
    </w:p>
    <w:p>
      <w:pPr>
        <w:spacing w:before="120" w:after="120"/>
        <w:pBdr>
          <w:bottom w:val="single" w:sz="6" w:space="1" w:color="auto"/>
        </w:pBdr>
      </w:pPr>
    </w:p>
    <w:p>
      <w:pPr>
        <w:spacing w:before="120" w:after="120"/>
      </w:pPr>
      <w:r>
        <w:rPr>
          <w:rFonts w:ascii="Arial" w:hAnsi="Arial" w:cs="Arial"/>
          <w:b/>
          <w:i w:val="0"/>
          <w:sz w:val="32"/>
        </w:rPr>
        <w:t>Typical Workflow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1. </w:t>
      </w:r>
      <w:r>
        <w:rPr>
          <w:rFonts w:ascii="Arial" w:hAnsi="Arial" w:cs="Arial"/>
          <w:b/>
          <w:i w:val="0"/>
          <w:sz w:val="24"/>
        </w:rPr>
        <w:t>Launch the Application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/>
          <w:i w:val="0"/>
          <w:sz w:val="24"/>
        </w:rPr>
        <w:t xml:space="preserve">macOS: </w:t>
      </w:r>
      <w:r>
        <w:rPr>
          <w:rFonts w:ascii="Arial" w:hAnsi="Arial" w:cs="Arial"/>
          <w:b w:val="0"/>
          <w:i w:val="0"/>
          <w:sz w:val="24"/>
        </w:rPr>
        <w:t xml:space="preserve">Run the standalone Mac bundle </w:t>
      </w:r>
      <w:r>
        <w:rPr>
          <w:rFonts w:ascii="Courier New" w:hAnsi="Courier New" w:cs="Courier New"/>
          <w:b w:val="0"/>
          <w:i w:val="0"/>
          <w:sz w:val="24"/>
        </w:rPr>
        <w:t>Oligool.app</w:t>
      </w:r>
      <w:r>
        <w:rPr>
          <w:rFonts w:ascii="Arial" w:hAnsi="Arial" w:cs="Arial"/>
          <w:b w:val="0"/>
          <w:i w:val="0"/>
          <w:sz w:val="24"/>
        </w:rPr>
        <w:t>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/>
          <w:i w:val="0"/>
          <w:sz w:val="24"/>
        </w:rPr>
        <w:t xml:space="preserve">Windows: </w:t>
      </w:r>
      <w:r>
        <w:rPr>
          <w:rFonts w:ascii="Arial" w:hAnsi="Arial" w:cs="Arial"/>
          <w:b w:val="0"/>
          <w:i w:val="0"/>
          <w:sz w:val="24"/>
        </w:rPr>
        <w:t xml:space="preserve">Execute the single-file executable </w:t>
      </w:r>
      <w:r>
        <w:rPr>
          <w:rFonts w:ascii="Courier New" w:hAnsi="Courier New" w:cs="Courier New"/>
          <w:b w:val="0"/>
          <w:i w:val="0"/>
          <w:sz w:val="24"/>
        </w:rPr>
        <w:t>Oligool.exe</w:t>
      </w:r>
      <w:r>
        <w:rPr>
          <w:rFonts w:ascii="Arial" w:hAnsi="Arial" w:cs="Arial"/>
          <w:b w:val="0"/>
          <w:i w:val="0"/>
          <w:sz w:val="24"/>
        </w:rPr>
        <w:t>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 xml:space="preserve">All credentials (e.g., NCBI Key, IDT API authentication) and design configurations are securely stored locally via </w:t>
      </w:r>
      <w:r>
        <w:rPr>
          <w:rFonts w:ascii="Courier New" w:hAnsi="Courier New" w:cs="Courier New"/>
          <w:b w:val="0"/>
          <w:i w:val="0"/>
          <w:sz w:val="24"/>
        </w:rPr>
        <w:t>localStorage</w:t>
      </w:r>
      <w:r>
        <w:rPr>
          <w:rFonts w:ascii="Arial" w:hAnsi="Arial" w:cs="Arial"/>
          <w:b w:val="0"/>
          <w:i w:val="0"/>
          <w:sz w:val="24"/>
        </w:rPr>
        <w:t>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2. </w:t>
      </w:r>
      <w:r>
        <w:rPr>
          <w:rFonts w:ascii="Arial" w:hAnsi="Arial" w:cs="Arial"/>
          <w:b/>
          <w:i w:val="0"/>
          <w:sz w:val="24"/>
        </w:rPr>
        <w:t>Search and Retrieve Sequences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Toggle between NCBI and Ensembl.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Enter your target gene name or accession ID to retrieve annotated sequence data.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3. </w:t>
      </w:r>
      <w:r>
        <w:rPr>
          <w:rFonts w:ascii="Arial" w:hAnsi="Arial" w:cs="Arial"/>
          <w:b/>
          <w:i w:val="0"/>
          <w:sz w:val="24"/>
        </w:rPr>
        <w:t>Sequence Alignment (Optional)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Upload multiple sequences and utilize the MAFFT-powered MSA Viewer to align them.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Use the 2D minimap to identify conserved regions.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4. </w:t>
      </w:r>
      <w:r>
        <w:rPr>
          <w:rFonts w:ascii="Arial" w:hAnsi="Arial" w:cs="Arial"/>
          <w:b/>
          <w:i w:val="0"/>
          <w:sz w:val="24"/>
        </w:rPr>
        <w:t>Oligo Design (“Oligize!”)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Select a genomic region of interest.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Define your desired shift and oligo lengths to split the region into two contiguous oligos.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Review the live IDT OligoAnalyzer real-time Delta G values to avoid hairpins and self-dimerization.</w:t>
      </w:r>
    </w:p>
    <w:p>
      <w:pPr>
        <w:spacing w:before="120" w:after="40"/>
        <w:ind w:left="567" w:hanging="340"/>
      </w:pPr>
      <w:r>
        <w:rPr>
          <w:rFonts w:ascii="Arial" w:hAnsi="Arial" w:cs="Arial"/>
          <w:b/>
          <w:i w:val="0"/>
          <w:sz w:val="24"/>
        </w:rPr>
        <w:t xml:space="preserve">5. </w:t>
      </w:r>
      <w:r>
        <w:rPr>
          <w:rFonts w:ascii="Arial" w:hAnsi="Arial" w:cs="Arial"/>
          <w:b/>
          <w:i w:val="0"/>
          <w:sz w:val="24"/>
        </w:rPr>
        <w:t>Visual Assembly (“Primerize!”)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Navigate to the schematic view to visually assemble your molecular design.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Input your custom TAGs, Forward PBS, and Reverse PBS.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 xml:space="preserve">Enable </w:t>
      </w:r>
      <w:r>
        <w:rPr>
          <w:rFonts w:ascii="Arial" w:hAnsi="Arial" w:cs="Arial"/>
          <w:b/>
          <w:i w:val="0"/>
          <w:sz w:val="24"/>
        </w:rPr>
        <w:t>Seq Mode</w:t>
      </w:r>
      <w:r>
        <w:rPr>
          <w:rFonts w:ascii="Arial" w:hAnsi="Arial" w:cs="Arial"/>
          <w:b w:val="0"/>
          <w:i w:val="0"/>
          <w:sz w:val="24"/>
        </w:rPr>
        <w:t xml:space="preserve"> to verify the base-by-base construct architecture.</w:t>
      </w:r>
    </w:p>
    <w:p>
      <w:pPr>
        <w:spacing w:before="20" w:after="20"/>
        <w:ind w:left="1134" w:hanging="283"/>
      </w:pPr>
      <w:r>
        <w:rPr>
          <w:rFonts w:ascii="Arial" w:hAnsi="Arial" w:cs="Arial"/>
          <w:b w:val="0"/>
          <w:i w:val="0"/>
          <w:sz w:val="24"/>
        </w:rPr>
        <w:t xml:space="preserve">–  </w:t>
      </w:r>
      <w:r>
        <w:rPr>
          <w:rFonts w:ascii="Arial" w:hAnsi="Arial" w:cs="Arial"/>
          <w:b w:val="0"/>
          <w:i w:val="0"/>
          <w:sz w:val="24"/>
        </w:rPr>
        <w:t>Use the generated sequence constructs for your downstream experimental workflows.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