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Horizon Business Park — Possession Guidelines</w:t>
      </w:r>
    </w:p>
    <w:p>
      <w:pPr>
        <w:pStyle w:val="Heading2"/>
      </w:pPr>
      <w:r>
        <w:t>Possession Timeline</w:t>
      </w:r>
    </w:p>
    <w:p>
      <w:r>
        <w:t>The proposed date of possession for Horizon Business Park is March 2028, as declared in the RERA registration (Registration No. PRM/KA/RERA/1251/446/PR/210324/006713). This date is subject to a grace period as specified in the Agreement for Sale, typically up to 6 months, to account for force majeure events.</w:t>
      </w:r>
    </w:p>
    <w:p>
      <w:pPr>
        <w:pStyle w:val="Heading2"/>
      </w:pPr>
      <w:r>
        <w:t>Pre-Possession Checklist</w:t>
      </w:r>
    </w:p>
    <w:p>
      <w:r>
        <w:t>Ensure all payment installments as per the payment plan, including any applicable interest for delayed payments, have been cleared in full.</w:t>
      </w:r>
    </w:p>
    <w:p>
      <w:r>
        <w:t>Complete registration of the Sale Deed / Conveyance Deed before or at the time of taking possession, as applicable under the Agreement.</w:t>
      </w:r>
    </w:p>
    <w:p>
      <w:r>
        <w:t>Carry a valid photo ID and the original Agreement for Sale / Allotment Letter to the possession/handover appointment.</w:t>
      </w:r>
    </w:p>
    <w:p>
      <w:pPr>
        <w:pStyle w:val="Heading2"/>
      </w:pPr>
      <w:r>
        <w:t>Snag Inspection &amp; Handover</w:t>
      </w:r>
    </w:p>
    <w:p>
      <w:r>
        <w:t>Buyers are entitled to a joint inspection of the unit with the builder's representative prior to formal handover, during which any visible defects, incomplete fittings, or discrepancies from agreed specifications should be recorded in a joint snag list.</w:t>
      </w:r>
    </w:p>
    <w:p>
      <w:r>
        <w:t>The Promoter is obligated under Section 14(3) of the RERA Act to rectify structural defects or deficiencies reported by the Allottee within 5 years of possession, at no additional cost, within 30 days of being notified.</w:t>
      </w:r>
    </w:p>
    <w:p>
      <w:pPr>
        <w:pStyle w:val="Heading2"/>
      </w:pPr>
      <w:r>
        <w:t>Occupancy Certificate</w:t>
      </w:r>
    </w:p>
    <w:p>
      <w:r>
        <w:t>Possession will only be offered after the project (or the relevant tower/block) has received a valid Occupancy Certificate (OC) from the competent local municipal/planning authority. Buyers may request a copy of the OC from the builder at the time of possession.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