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Meridian Greens Residency — Registration Process Guide</w:t>
      </w:r>
    </w:p>
    <w:p>
      <w:pPr>
        <w:pStyle w:val="Heading2"/>
      </w:pPr>
      <w:r>
        <w:t>Documents Required</w:t>
      </w:r>
    </w:p>
    <w:p>
      <w:r>
        <w:t>PAN Card and Aadhaar Card (or valid government-issued photo ID) of all buyers.</w:t>
      </w:r>
    </w:p>
    <w:p>
      <w:r>
        <w:t>Passport-size photographs of all buyers and, where applicable, of the seller.</w:t>
      </w:r>
    </w:p>
    <w:p>
      <w:r>
        <w:t>Copy of the executed Agreement for Sale / Sale Deed.</w:t>
      </w:r>
    </w:p>
    <w:p>
      <w:r>
        <w:t>Proof of payment of stamp duty and registration fee (challan/receipt).</w:t>
      </w:r>
    </w:p>
    <w:p>
      <w:r>
        <w:t>No Objection Certificate (NOC) from the financing bank, if the unit is under a home loan.</w:t>
      </w:r>
    </w:p>
    <w:p>
      <w:pPr>
        <w:pStyle w:val="Heading2"/>
      </w:pPr>
      <w:r>
        <w:t>Step-by-Step Registration Process</w:t>
      </w:r>
    </w:p>
    <w:p>
      <w:r>
        <w:t>1. Compute applicable stamp duty and registration charges based on the circle rate/guidance value of the property in Hinjewadi, Pune and the declared sale consideration, whichever is higher.</w:t>
      </w:r>
    </w:p>
    <w:p>
      <w:r>
        <w:t>2. Pay stamp duty online through the respective State's e-stamping portal, or through an authorized franking center.</w:t>
      </w:r>
    </w:p>
    <w:p>
      <w:r>
        <w:t>3. Book an appointment slot with the local Sub-Registrar office (many states offer online slot booking).</w:t>
      </w:r>
    </w:p>
    <w:p>
      <w:r>
        <w:t>4. Both buyer and seller (or their authorized representatives with valid Power of Attorney) must be physically present at the Sub-Registrar office along with two witnesses.</w:t>
      </w:r>
    </w:p>
    <w:p>
      <w:r>
        <w:t>5. Biometric verification and document execution take place at the Sub-Registrar office, after which the registered document is issued, typically within a few working days.</w:t>
      </w:r>
    </w:p>
    <w:p>
      <w:pPr>
        <w:pStyle w:val="Heading2"/>
      </w:pPr>
      <w:r>
        <w:t>Charges</w:t>
      </w:r>
    </w:p>
    <w:p>
      <w:r>
        <w:t>Stamp duty and registration charges vary by state and are subject to change as per the prevailing government notification at the time of registration. Buyers should confirm current rates with the sales/CRM team or the Sub-Registrar office directly before budgeting for these costs.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