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4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44"/>
          <w:shd w:fill="auto" w:val="clear"/>
        </w:rPr>
        <w:t xml:space="preserve">OPENCV-OPEN SOURCE COMPUTER VISION FOR IMAGE PROCESSING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  <w:t xml:space="preserve">          OpenCV (Open Source Computer Vision Library) is an open source computer vision and machine learning software library. OpenCV was built to provide a common infrastructure for computer vision applications and to accelerate the use of machine perception in the commercial products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FFFFFF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 1: Install OpenCV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Begin by installing OpenCV on your system. You can do this using package managers like pip (for Python) or by building it from source.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64" w:dyaOrig="3763">
          <v:rect xmlns:o="urn:schemas-microsoft-com:office:office" xmlns:v="urn:schemas-microsoft-com:vml" id="rectole0000000000" style="width:433.200000pt;height:188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 2: Import OpenCV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In your code, import the OpenCV library. For example, in Python, you would use import cv2. Load an Image: Use OpenCV to load the image you want to recognize. You can do this with cv2.imread(‘image.jpg’).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 3: Preprocess the Image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Preprocessing may involve tasks like resizing, filtering, or color conversion. This step depends on the specific requirements of your recognition task.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 4:  Load a Pre-trained Model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many recognition tasks, you can use pre-trained models. OpenCV supports various models for tasks like face recognition, object detection, and more. Load the appropriate model using cv2.dnn.readNet().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64" w:dyaOrig="4872">
          <v:rect xmlns:o="urn:schemas-microsoft-com:office:office" xmlns:v="urn:schemas-microsoft-com:vml" id="rectole0000000001" style="width:433.200000pt;height:24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 5:Set Input: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Prepare the image for input to the model. This often involves resizing and normalization. Use the model’s input shape and size as a guide.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 6: Perform Inference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 the loaded model to perform inference on the preprocessed image. This can be done with model.forward().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 7: Post-process Results: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output from the model might need post-processing to extract relevant information. For example, for object detection, you’ll need to filter and interpret bounding boxes.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 8: Display or Use the Results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You can choose to display the results with OpenCV’s drawing functions or use the recognition results for further actions in your application.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 9: Clean Up: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Properly release resources, like closing the image file or releasing the model when you’re done with them.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64" w:dyaOrig="4872">
          <v:rect xmlns:o="urn:schemas-microsoft-com:office:office" xmlns:v="urn:schemas-microsoft-com:vml" id="rectole0000000002" style="width:433.200000pt;height:243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 10:Repeat (Optional)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 you’re processing multiple images or working in a real-time environment, you can repeat the process for each new image.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STEP 11: Handle Errors and Exceptional Cases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Implement error handling to deal with issues like image loading failures, model loading errors, or inference problems.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STEP 12: Optimize (Optional)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Depending on your use case, you may want to optimize the code for better performance. OpenCV provides options for hardware acceleration and parallel processing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