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sz w:val="40"/>
          <w:szCs w:val="40"/>
        </w:rPr>
        <w:t xml:space="preserve">Product Requirements Document</w:t>
      </w:r>
    </w:p>
    <w:p>
      <w:pPr>
        <w:spacing w:after="80"/>
        <w:jc w:val="center"/>
      </w:pPr>
      <w:r>
        <w:rPr>
          <w:rFonts w:ascii="Arial" w:cs="Arial" w:eastAsia="Arial" w:hAnsi="Arial"/>
          <w:sz w:val="26"/>
          <w:szCs w:val="26"/>
        </w:rPr>
        <w:t xml:space="preserve">Project: Deterministic Financial AI Co-Pilot</w:t>
      </w:r>
    </w:p>
    <w:p>
      <w:pPr>
        <w:spacing w:after="80"/>
        <w:jc w:val="center"/>
      </w:pPr>
      <w:r>
        <w:rPr>
          <w:rFonts w:ascii="Arial" w:cs="Arial" w:eastAsia="Arial" w:hAnsi="Arial"/>
          <w:b/>
          <w:bCs/>
          <w:sz w:val="24"/>
          <w:szCs w:val="24"/>
        </w:rPr>
        <w:t xml:space="preserve">Version: 1.2 (Revised — Chatbot UX)</w:t>
      </w:r>
    </w:p>
    <w:p>
      <w:pPr>
        <w:spacing w:after="240"/>
        <w:jc w:val="center"/>
      </w:pPr>
      <w:r>
        <w:rPr>
          <w:rFonts w:ascii="Arial" w:cs="Arial" w:eastAsia="Arial" w:hAnsi="Arial"/>
          <w:sz w:val="24"/>
          <w:szCs w:val="24"/>
        </w:rPr>
        <w:t xml:space="preserve">Architecture Focus: Hybrid Local-First (Zero Cloud DB)</w:t>
      </w:r>
    </w:p>
    <w:p>
      <w:pPr>
        <w:pBdr>
          <w:top w:val="single" w:color="1F3864" w:sz="12"/>
          <w:left w:val="single" w:color="1F3864" w:sz="12"/>
          <w:bottom w:val="single" w:color="1F3864" w:sz="12"/>
          <w:right w:val="single" w:color="1F3864" w:sz="12"/>
        </w:pBdr>
        <w:shd w:fill="E7F1FB" w:val="clear"/>
        <w:spacing w:after="120" w:before="200"/>
      </w:pPr>
      <w:r>
        <w:rPr>
          <w:rFonts w:ascii="Arial" w:cs="Arial" w:eastAsia="Arial" w:hAnsi="Arial"/>
          <w:b/>
          <w:bCs/>
          <w:color w:val="1F3864"/>
          <w:sz w:val="24"/>
          <w:szCs w:val="24"/>
        </w:rPr>
        <w:t xml:space="preserve">Changes in v1.1 and v1.2</w:t>
      </w:r>
    </w:p>
    <w:p>
      <w:pPr>
        <w:spacing w:after="120" w:line="300"/>
      </w:pPr>
      <w:r>
        <w:rPr>
          <w:rFonts w:ascii="Arial" w:cs="Arial" w:eastAsia="Arial" w:hAnsi="Arial"/>
          <w:sz w:val="21"/>
          <w:szCs w:val="21"/>
        </w:rPr>
        <w:t xml:space="preserve">v1.1 incorporated findings from a corpus review of five representative input files (Glow Naturals monthly P&amp;L, Sharma Textiles four-year financials, Krishnan Engineering three-year P&amp;L, ZenithOps data room workbook, and ZenithOps CIM). It elevated ingestion, reconciliation, and citation lineage to first-class architectural concerns and added §5, §6, and §7.</w:t>
      </w:r>
    </w:p>
    <w:p>
      <w:pPr>
        <w:spacing w:after="120" w:line="300"/>
      </w:pPr>
      <w:r>
        <w:rPr>
          <w:rFonts w:ascii="Arial" w:cs="Arial" w:eastAsia="Arial" w:hAnsi="Arial"/>
          <w:sz w:val="21"/>
          <w:szCs w:val="21"/>
        </w:rPr>
        <w:t xml:space="preserve">v1.2 reshapes the human-in-the-loop UX to fit a chatbot product targeted at non-technical users. The standalone Ingestion Review screen from v1.1 is removed; in its place, ingestion produces an Onboarding Conversation — the bot's first chat message after a file is uploaded, surfacing every interpretation decision in plain language and asking blocking questions for genuine cross-source conflicts. Facts remain non-queryable until the user acknowledges this onboarding message. The ingestion pipeline (§5), citation envelope (§6), and tool surface (Phase 3) are unchanged from v1.1 — only the human-facing layer changes.</w:t>
      </w:r>
    </w:p>
    <w:p>
      <w:pPr>
        <w:spacing w:after="120" w:line="300"/>
      </w:pPr>
      <w:r>
        <w:rPr>
          <w:rFonts w:ascii="Arial" w:cs="Arial" w:eastAsia="Arial" w:hAnsi="Arial"/>
          <w:i/>
          <w:iCs/>
          <w:sz w:val="21"/>
          <w:szCs w:val="21"/>
        </w:rPr>
        <w:t xml:space="preserve">v1.1 revisions appear in YELLOW callouts. v1.2 revisions appear in ORANGE callouts. v1.0 content is preserved verbatim. Where v1.2 supersedes v1.1, the v1.1 text is struck through and the v1.2 text follows.</w:t>
      </w:r>
    </w:p>
    <w:p>
      <w:r>
        <w:br w:type="page"/>
      </w:r>
    </w:p>
    <w:p>
      <w:pPr>
        <w:pStyle w:val="Heading1"/>
        <w:spacing w:after="160" w:before="280"/>
      </w:pPr>
      <w:r>
        <w:rPr>
          <w:rFonts w:ascii="Arial" w:cs="Arial" w:eastAsia="Arial" w:hAnsi="Arial"/>
          <w:b/>
          <w:bCs/>
          <w:sz w:val="32"/>
          <w:szCs w:val="32"/>
        </w:rPr>
        <w:t xml:space="preserve">1. Executive Summary</w:t>
      </w:r>
    </w:p>
    <w:p>
      <w:pPr>
        <w:spacing w:after="120" w:line="300"/>
      </w:pPr>
      <w:r>
        <w:rPr>
          <w:rFonts w:ascii="Arial" w:cs="Arial" w:eastAsia="Arial" w:hAnsi="Arial"/>
          <w:sz w:val="22"/>
          <w:szCs w:val="22"/>
        </w:rPr>
        <w:t xml:space="preserve">This document outlines the architecture, constraints, and development roadmap for an AI-powered financial intelligence system designed for accurate Private Equity analysis. The system enables users to upload heterogeneous financial documents (CSVs, Excel files, PDFs) and interrogate the data using natural language.</w:t>
      </w:r>
    </w:p>
    <w:p>
      <w:pPr>
        <w:spacing w:after="120" w:line="300"/>
      </w:pPr>
      <w:r>
        <w:rPr>
          <w:rFonts w:ascii="Arial" w:cs="Arial" w:eastAsia="Arial" w:hAnsi="Arial"/>
          <w:sz w:val="22"/>
          <w:szCs w:val="22"/>
        </w:rPr>
        <w:t xml:space="preserve">Crucially, the system acts as a deterministic translator, not a calculator. To achieve zero hallucination on financial metrics and maintain strict data privacy, it employs a hybrid architecture: all data processing, storage, and metric calculations occur strictly locally, while an enterprise cloud LLM acts merely as an orchestrator and natural language interface via secure API calls.</w:t>
      </w:r>
    </w:p>
    <w:p>
      <w:pPr>
        <w:pBdr>
          <w:top w:val="single" w:color="E8D285" w:sz="4" w:space="4"/>
          <w:left w:val="single" w:color="C9A227" w:sz="18" w:space="6"/>
          <w:bottom w:val="single" w:color="E8D285" w:sz="4" w:space="4"/>
          <w:right w:val="single" w:color="E8D285" w:sz="4" w:space="4"/>
        </w:pBdr>
        <w:shd w:fill="FFF4CE" w:val="clear"/>
        <w:spacing w:after="140" w:before="100" w:line="300"/>
      </w:pPr>
      <w:r>
        <w:rPr>
          <w:rFonts w:ascii="Arial" w:cs="Arial" w:eastAsia="Arial" w:hAnsi="Arial"/>
          <w:b/>
          <w:bCs/>
          <w:color w:val="8A6D11"/>
          <w:sz w:val="20"/>
          <w:szCs w:val="20"/>
        </w:rPr>
        <w:t xml:space="preserve">REVISION v1.1 — </w:t>
      </w:r>
      <w:r>
        <w:rPr>
          <w:rFonts w:ascii="Arial" w:cs="Arial" w:eastAsia="Arial" w:hAnsi="Arial"/>
          <w:color w:val="3D2F00"/>
          <w:sz w:val="20"/>
          <w:szCs w:val="20"/>
        </w:rPr>
        <w:t xml:space="preserve">Corpus review confirms the architecture's premise but reveals that the hardest engineering work sits in the path between "raw uploaded file" and "clean DuckDB row." Real-world inputs mix units within a single sheet, contradict themselves across sheets, and embed semantically critical context inside free-text notes that the original PRD's qualitative/quantitative split would route into ChromaDB and lose. The revised PRD elevates ingestion, reconciliation, and human-in-the-loop review from one-bullet items in Phase 1 to first-class architectural concerns.</w:t>
      </w:r>
    </w:p>
    <w:p>
      <w:pPr>
        <w:pStyle w:val="Heading1"/>
        <w:spacing w:after="160" w:before="280"/>
      </w:pPr>
      <w:r>
        <w:rPr>
          <w:rFonts w:ascii="Arial" w:cs="Arial" w:eastAsia="Arial" w:hAnsi="Arial"/>
          <w:b/>
          <w:bCs/>
          <w:sz w:val="32"/>
          <w:szCs w:val="32"/>
        </w:rPr>
        <w:t xml:space="preserve">2. Core Principles &amp; Guardrails</w:t>
      </w:r>
    </w:p>
    <w:p>
      <w:pPr>
        <w:pStyle w:val="ListParagraph"/>
        <w:numPr>
          <w:ilvl w:val="0"/>
          <w:numId w:val="2"/>
        </w:numPr>
        <w:spacing w:after="80" w:line="300"/>
      </w:pPr>
      <w:r>
        <w:rPr>
          <w:rFonts w:ascii="Arial" w:cs="Arial" w:eastAsia="Arial" w:hAnsi="Arial"/>
          <w:b/>
          <w:bCs/>
          <w:sz w:val="22"/>
          <w:szCs w:val="22"/>
        </w:rPr>
        <w:t xml:space="preserve">ZERO LLM MATH</w:t>
      </w:r>
      <w:r>
        <w:rPr>
          <w:rFonts w:ascii="Arial" w:cs="Arial" w:eastAsia="Arial" w:hAnsi="Arial"/>
          <w:sz w:val="22"/>
          <w:szCs w:val="22"/>
        </w:rPr>
        <w:t xml:space="preserve">: Generative AI models are strictly prohibited from performing mathematical calculations. All financial aggregations, ratios (e.g., EBITDA, IRR), and variances are executed by deterministic Python tools.</w:t>
      </w:r>
    </w:p>
    <w:p>
      <w:pPr>
        <w:pStyle w:val="ListParagraph"/>
        <w:numPr>
          <w:ilvl w:val="0"/>
          <w:numId w:val="2"/>
        </w:numPr>
        <w:spacing w:after="80" w:line="300"/>
      </w:pPr>
      <w:r>
        <w:rPr>
          <w:rFonts w:ascii="Arial" w:cs="Arial" w:eastAsia="Arial" w:hAnsi="Arial"/>
          <w:b/>
          <w:bCs/>
          <w:sz w:val="22"/>
          <w:szCs w:val="22"/>
        </w:rPr>
        <w:t xml:space="preserve">Data Privacy &amp; Residency</w:t>
      </w:r>
      <w:r>
        <w:rPr>
          <w:rFonts w:ascii="Arial" w:cs="Arial" w:eastAsia="Arial" w:hAnsi="Arial"/>
          <w:sz w:val="22"/>
          <w:szCs w:val="22"/>
        </w:rPr>
        <w:t xml:space="preserve">: Raw financial data must never be uploaded to cloud storage or databases. Only specific, sanitized tool schemas and outputs are sent to the LLM API.</w:t>
      </w:r>
    </w:p>
    <w:p>
      <w:pPr>
        <w:pStyle w:val="ListParagraph"/>
        <w:numPr>
          <w:ilvl w:val="0"/>
          <w:numId w:val="2"/>
        </w:numPr>
        <w:spacing w:after="80" w:line="300"/>
      </w:pPr>
      <w:r>
        <w:rPr>
          <w:rFonts w:ascii="Arial" w:cs="Arial" w:eastAsia="Arial" w:hAnsi="Arial"/>
          <w:b/>
          <w:bCs/>
          <w:sz w:val="22"/>
          <w:szCs w:val="22"/>
        </w:rPr>
        <w:t xml:space="preserve">Agentic RAG</w:t>
      </w:r>
      <w:r>
        <w:rPr>
          <w:rFonts w:ascii="Arial" w:cs="Arial" w:eastAsia="Arial" w:hAnsi="Arial"/>
          <w:sz w:val="22"/>
          <w:szCs w:val="22"/>
        </w:rPr>
        <w:t xml:space="preserve">: Semantic search (RAG) is reserved exclusively for qualitative textual context (MD&amp;A, footnotes). Hard numbers are retrieved via text-to-SQL logic.</w:t>
      </w:r>
    </w:p>
    <w:p>
      <w:pPr>
        <w:pStyle w:val="ListParagraph"/>
        <w:numPr>
          <w:ilvl w:val="0"/>
          <w:numId w:val="2"/>
        </w:numPr>
        <w:spacing w:after="80" w:line="300"/>
      </w:pPr>
      <w:r>
        <w:rPr>
          <w:rFonts w:ascii="Arial" w:cs="Arial" w:eastAsia="Arial" w:hAnsi="Arial"/>
          <w:b/>
          <w:bCs/>
          <w:sz w:val="22"/>
          <w:szCs w:val="22"/>
        </w:rPr>
        <w:t xml:space="preserve">Traceability</w:t>
      </w:r>
      <w:r>
        <w:rPr>
          <w:rFonts w:ascii="Arial" w:cs="Arial" w:eastAsia="Arial" w:hAnsi="Arial"/>
          <w:sz w:val="22"/>
          <w:szCs w:val="22"/>
        </w:rPr>
        <w:t xml:space="preserve">: Every AI-generated assertion must include a direct citation to the underlying data source (e.g., DuckDB table row or ChromaDB PDF chunk).</w:t>
      </w:r>
    </w:p>
    <w:p>
      <w:pPr>
        <w:pBdr>
          <w:top w:val="single" w:color="E8D285" w:sz="4" w:space="4"/>
          <w:left w:val="single" w:color="C9A227" w:sz="18" w:space="6"/>
          <w:bottom w:val="single" w:color="E8D285" w:sz="4" w:space="4"/>
          <w:right w:val="single" w:color="E8D285" w:sz="4" w:space="4"/>
        </w:pBdr>
        <w:shd w:fill="FFF4CE" w:val="clear"/>
        <w:spacing w:after="140" w:before="100" w:line="300"/>
      </w:pPr>
      <w:r>
        <w:rPr>
          <w:rFonts w:ascii="Arial" w:cs="Arial" w:eastAsia="Arial" w:hAnsi="Arial"/>
          <w:b/>
          <w:bCs/>
          <w:color w:val="8A6D11"/>
          <w:sz w:val="20"/>
          <w:szCs w:val="20"/>
        </w:rPr>
        <w:t xml:space="preserve">REVISION v1.1 — </w:t>
      </w:r>
      <w:r>
        <w:rPr>
          <w:rFonts w:ascii="Arial" w:cs="Arial" w:eastAsia="Arial" w:hAnsi="Arial"/>
          <w:color w:val="3D2F00"/>
          <w:sz w:val="20"/>
          <w:szCs w:val="20"/>
        </w:rPr>
        <w:t xml:space="preserve">Two added principles, and one sharpened. (1) NO FREE-FORM SQL FROM THE LLM — "Zero LLM Math" leaks if the model writes SQL like SELECT SUM(revenue) * 0.7. Tools must expose parameterized functions only (fetch_metric, calculate_variance, calculate_ratio); raw SQL strings from the LLM are rejected by the orchestrator. (2) UNIT-EXPLICIT STORAGE — every numeric value in DuckDB carries its unit as a first-class column (INR_lakhs, INR_crore, INR_absolute, USD_thousands). Cross-unit operations require explicit conversion and are logged. (3) RECONCILE-THEN-ANSWER — when two ingested sources disagree on the same metric within tolerance, the system surfaces the conflict before answering, rather than silently picking one.</w:t>
      </w:r>
    </w:p>
    <w:p>
      <w:pPr>
        <w:pStyle w:val="ListParagraph"/>
        <w:numPr>
          <w:ilvl w:val="0"/>
          <w:numId w:val="2"/>
        </w:numPr>
        <w:spacing w:after="80" w:line="300"/>
      </w:pPr>
      <w:r>
        <w:rPr>
          <w:rFonts w:ascii="Arial" w:cs="Arial" w:eastAsia="Arial" w:hAnsi="Arial"/>
          <w:b/>
          <w:bCs/>
          <w:color w:val="8A6D11"/>
          <w:sz w:val="22"/>
          <w:szCs w:val="22"/>
        </w:rPr>
        <w:t xml:space="preserve">(NEW) No Free-Form SQL from the LLM</w:t>
      </w:r>
      <w:r>
        <w:rPr>
          <w:rFonts w:ascii="Arial" w:cs="Arial" w:eastAsia="Arial" w:hAnsi="Arial"/>
          <w:color w:val="3D2F00"/>
          <w:sz w:val="22"/>
          <w:szCs w:val="22"/>
        </w:rPr>
        <w:t xml:space="preserve">: Tools expose parameterized function signatures only. The LLM cannot emit raw SQL. This closes the calculation-by-proxy loophole.</w:t>
      </w:r>
    </w:p>
    <w:p>
      <w:pPr>
        <w:pStyle w:val="ListParagraph"/>
        <w:numPr>
          <w:ilvl w:val="0"/>
          <w:numId w:val="2"/>
        </w:numPr>
        <w:spacing w:after="80" w:line="300"/>
      </w:pPr>
      <w:r>
        <w:rPr>
          <w:rFonts w:ascii="Arial" w:cs="Arial" w:eastAsia="Arial" w:hAnsi="Arial"/>
          <w:b/>
          <w:bCs/>
          <w:color w:val="8A6D11"/>
          <w:sz w:val="22"/>
          <w:szCs w:val="22"/>
        </w:rPr>
        <w:t xml:space="preserve">(NEW) Unit-Explicit Storage</w:t>
      </w:r>
      <w:r>
        <w:rPr>
          <w:rFonts w:ascii="Arial" w:cs="Arial" w:eastAsia="Arial" w:hAnsi="Arial"/>
          <w:color w:val="3D2F00"/>
          <w:sz w:val="22"/>
          <w:szCs w:val="22"/>
        </w:rPr>
        <w:t xml:space="preserve">: Every fact row in DuckDB carries (value, unit, original_unit, conversion_applied). No "naked numbers."</w:t>
      </w:r>
    </w:p>
    <w:p>
      <w:pPr>
        <w:pStyle w:val="ListParagraph"/>
        <w:numPr>
          <w:ilvl w:val="0"/>
          <w:numId w:val="2"/>
        </w:numPr>
        <w:spacing w:after="80" w:line="300"/>
      </w:pPr>
      <w:r>
        <w:rPr>
          <w:rFonts w:ascii="Arial" w:cs="Arial" w:eastAsia="Arial" w:hAnsi="Arial"/>
          <w:b/>
          <w:bCs/>
          <w:color w:val="8A6D11"/>
          <w:sz w:val="22"/>
          <w:szCs w:val="22"/>
        </w:rPr>
        <w:t xml:space="preserve">(NEW) Reconcile-Then-Answer</w:t>
      </w:r>
      <w:r>
        <w:rPr>
          <w:rFonts w:ascii="Arial" w:cs="Arial" w:eastAsia="Arial" w:hAnsi="Arial"/>
          <w:color w:val="3D2F00"/>
          <w:sz w:val="22"/>
          <w:szCs w:val="22"/>
        </w:rPr>
        <w:t xml:space="preserve">: Cross-source contradictions on the same (entity, metric, period) tuple are flagged at ingest and surfaced at query time, not silently resolved.</w:t>
      </w:r>
    </w:p>
    <w:p>
      <w:pPr>
        <w:pStyle w:val="Heading1"/>
        <w:spacing w:after="160" w:before="280"/>
      </w:pPr>
      <w:r>
        <w:rPr>
          <w:rFonts w:ascii="Arial" w:cs="Arial" w:eastAsia="Arial" w:hAnsi="Arial"/>
          <w:b/>
          <w:bCs/>
          <w:sz w:val="32"/>
          <w:szCs w:val="32"/>
        </w:rPr>
        <w:t xml:space="preserve">3. Target Architecture &amp;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80"/>
        <w:gridCol w:w="4080"/>
      </w:tblGrid>
      <w:tr>
        <w:trPr>
          <w:tblHeader/>
        </w:trPr>
        <w:tc>
          <w:tcPr>
            <w:tcW w:type="dxa" w:w="2400"/>
            <w:tcBorders>
              <w:top w:val="single" w:color="BFBFBF" w:sz="6"/>
              <w:left w:val="single" w:color="BFBFBF" w:sz="6"/>
              <w:bottom w:val="single" w:color="BFBFBF" w:sz="6"/>
              <w:right w:val="single" w:color="BFBFBF" w:sz="6"/>
            </w:tcBorders>
            <w:shd w:fill="1F3864" w:val="clear"/>
            <w:tcMar>
              <w:top w:type="dxa" w:w="100"/>
              <w:left w:type="dxa" w:w="140"/>
              <w:bottom w:type="dxa" w:w="100"/>
              <w:right w:type="dxa" w:w="140"/>
            </w:tcMar>
          </w:tcPr>
          <w:p>
            <w:pPr>
              <w:spacing w:after="0"/>
            </w:pPr>
            <w:r>
              <w:rPr>
                <w:rFonts w:ascii="Arial" w:cs="Arial" w:eastAsia="Arial" w:hAnsi="Arial"/>
                <w:b/>
                <w:bCs/>
                <w:color w:val="FFFFFF"/>
                <w:sz w:val="21"/>
                <w:szCs w:val="21"/>
              </w:rPr>
              <w:t xml:space="preserve">Component</w:t>
            </w:r>
          </w:p>
        </w:tc>
        <w:tc>
          <w:tcPr>
            <w:tcW w:type="dxa" w:w="2880"/>
            <w:tcBorders>
              <w:top w:val="single" w:color="BFBFBF" w:sz="6"/>
              <w:left w:val="single" w:color="BFBFBF" w:sz="6"/>
              <w:bottom w:val="single" w:color="BFBFBF" w:sz="6"/>
              <w:right w:val="single" w:color="BFBFBF" w:sz="6"/>
            </w:tcBorders>
            <w:shd w:fill="1F3864" w:val="clear"/>
            <w:tcMar>
              <w:top w:type="dxa" w:w="100"/>
              <w:left w:type="dxa" w:w="140"/>
              <w:bottom w:type="dxa" w:w="100"/>
              <w:right w:type="dxa" w:w="140"/>
            </w:tcMar>
          </w:tcPr>
          <w:p>
            <w:pPr>
              <w:spacing w:after="0"/>
            </w:pPr>
            <w:r>
              <w:rPr>
                <w:rFonts w:ascii="Arial" w:cs="Arial" w:eastAsia="Arial" w:hAnsi="Arial"/>
                <w:b/>
                <w:bCs/>
                <w:color w:val="FFFFFF"/>
                <w:sz w:val="21"/>
                <w:szCs w:val="21"/>
              </w:rPr>
              <w:t xml:space="preserve">Selected Technology</w:t>
            </w:r>
          </w:p>
        </w:tc>
        <w:tc>
          <w:tcPr>
            <w:tcW w:type="dxa" w:w="4080"/>
            <w:tcBorders>
              <w:top w:val="single" w:color="BFBFBF" w:sz="6"/>
              <w:left w:val="single" w:color="BFBFBF" w:sz="6"/>
              <w:bottom w:val="single" w:color="BFBFBF" w:sz="6"/>
              <w:right w:val="single" w:color="BFBFBF" w:sz="6"/>
            </w:tcBorders>
            <w:shd w:fill="1F3864" w:val="clear"/>
            <w:tcMar>
              <w:top w:type="dxa" w:w="100"/>
              <w:left w:type="dxa" w:w="140"/>
              <w:bottom w:type="dxa" w:w="100"/>
              <w:right w:type="dxa" w:w="140"/>
            </w:tcMar>
          </w:tcPr>
          <w:p>
            <w:pPr>
              <w:spacing w:after="0"/>
            </w:pPr>
            <w:r>
              <w:rPr>
                <w:rFonts w:ascii="Arial" w:cs="Arial" w:eastAsia="Arial" w:hAnsi="Arial"/>
                <w:b/>
                <w:bCs/>
                <w:color w:val="FFFFFF"/>
                <w:sz w:val="21"/>
                <w:szCs w:val="21"/>
              </w:rPr>
              <w:t xml:space="preserve">Purpose</w:t>
            </w:r>
          </w:p>
        </w:tc>
      </w:tr>
      <w:tr>
        <w:tc>
          <w:tcPr>
            <w:tcW w:type="dxa" w:w="2400"/>
            <w:tcBorders>
              <w:top w:val="single" w:color="BFBFBF" w:sz="6"/>
              <w:left w:val="single" w:color="BFBFBF" w:sz="6"/>
              <w:bottom w:val="single" w:color="BFBFBF" w:sz="6"/>
              <w:right w:val="single" w:color="BFBFBF" w:sz="6"/>
            </w:tcBorders>
            <w:tcMar>
              <w:top w:type="dxa" w:w="90"/>
              <w:left w:type="dxa" w:w="140"/>
              <w:bottom w:type="dxa" w:w="90"/>
              <w:right w:type="dxa" w:w="140"/>
            </w:tcMar>
          </w:tcPr>
          <w:p>
            <w:pPr>
              <w:spacing w:after="0"/>
            </w:pPr>
            <w:r>
              <w:rPr>
                <w:rFonts w:ascii="Arial" w:cs="Arial" w:eastAsia="Arial" w:hAnsi="Arial"/>
                <w:sz w:val="20"/>
                <w:szCs w:val="20"/>
              </w:rPr>
              <w:t xml:space="preserve">Data Processing</w:t>
            </w:r>
          </w:p>
        </w:tc>
        <w:tc>
          <w:tcPr>
            <w:tcW w:type="dxa" w:w="2880"/>
            <w:tcBorders>
              <w:top w:val="single" w:color="BFBFBF" w:sz="6"/>
              <w:left w:val="single" w:color="BFBFBF" w:sz="6"/>
              <w:bottom w:val="single" w:color="BFBFBF" w:sz="6"/>
              <w:right w:val="single" w:color="BFBFBF" w:sz="6"/>
            </w:tcBorders>
            <w:tcMar>
              <w:top w:type="dxa" w:w="90"/>
              <w:left w:type="dxa" w:w="140"/>
              <w:bottom w:type="dxa" w:w="90"/>
              <w:right w:type="dxa" w:w="140"/>
            </w:tcMar>
          </w:tcPr>
          <w:p>
            <w:pPr>
              <w:spacing w:after="0"/>
            </w:pPr>
            <w:r>
              <w:rPr>
                <w:rFonts w:ascii="Arial" w:cs="Arial" w:eastAsia="Arial" w:hAnsi="Arial"/>
                <w:sz w:val="20"/>
                <w:szCs w:val="20"/>
              </w:rPr>
              <w:t xml:space="preserve">Python (Polars, PyMuPDF)</w:t>
            </w:r>
          </w:p>
        </w:tc>
        <w:tc>
          <w:tcPr>
            <w:tcW w:type="dxa" w:w="4080"/>
            <w:tcBorders>
              <w:top w:val="single" w:color="BFBFBF" w:sz="6"/>
              <w:left w:val="single" w:color="BFBFBF" w:sz="6"/>
              <w:bottom w:val="single" w:color="BFBFBF" w:sz="6"/>
              <w:right w:val="single" w:color="BFBFBF" w:sz="6"/>
            </w:tcBorders>
            <w:tcMar>
              <w:top w:type="dxa" w:w="90"/>
              <w:left w:type="dxa" w:w="140"/>
              <w:bottom w:type="dxa" w:w="90"/>
              <w:right w:type="dxa" w:w="140"/>
            </w:tcMar>
          </w:tcPr>
          <w:p>
            <w:pPr>
              <w:spacing w:after="0"/>
            </w:pPr>
            <w:r>
              <w:rPr>
                <w:rFonts w:ascii="Arial" w:cs="Arial" w:eastAsia="Arial" w:hAnsi="Arial"/>
                <w:sz w:val="20"/>
                <w:szCs w:val="20"/>
              </w:rPr>
              <w:t xml:space="preserve">Local parsing and rapid normalization of tabular and unstructured files.</w:t>
            </w:r>
          </w:p>
        </w:tc>
      </w:tr>
      <w:tr>
        <w:tc>
          <w:tcPr>
            <w:tcW w:type="dxa" w:w="2400"/>
            <w:tcBorders>
              <w:top w:val="single" w:color="BFBFBF" w:sz="6"/>
              <w:left w:val="single" w:color="BFBFBF" w:sz="6"/>
              <w:bottom w:val="single" w:color="BFBFBF" w:sz="6"/>
              <w:right w:val="single" w:color="BFBFBF" w:sz="6"/>
            </w:tcBorders>
            <w:shd w:fill="F2F2F2" w:val="clear"/>
            <w:tcMar>
              <w:top w:type="dxa" w:w="90"/>
              <w:left w:type="dxa" w:w="140"/>
              <w:bottom w:type="dxa" w:w="90"/>
              <w:right w:type="dxa" w:w="140"/>
            </w:tcMar>
          </w:tcPr>
          <w:p>
            <w:pPr>
              <w:spacing w:after="0"/>
            </w:pPr>
            <w:r>
              <w:rPr>
                <w:rFonts w:ascii="Arial" w:cs="Arial" w:eastAsia="Arial" w:hAnsi="Arial"/>
                <w:sz w:val="20"/>
                <w:szCs w:val="20"/>
              </w:rPr>
              <w:t xml:space="preserve">Structured Engine</w:t>
            </w:r>
          </w:p>
        </w:tc>
        <w:tc>
          <w:tcPr>
            <w:tcW w:type="dxa" w:w="2880"/>
            <w:tcBorders>
              <w:top w:val="single" w:color="BFBFBF" w:sz="6"/>
              <w:left w:val="single" w:color="BFBFBF" w:sz="6"/>
              <w:bottom w:val="single" w:color="BFBFBF" w:sz="6"/>
              <w:right w:val="single" w:color="BFBFBF" w:sz="6"/>
            </w:tcBorders>
            <w:shd w:fill="F2F2F2" w:val="clear"/>
            <w:tcMar>
              <w:top w:type="dxa" w:w="90"/>
              <w:left w:type="dxa" w:w="140"/>
              <w:bottom w:type="dxa" w:w="90"/>
              <w:right w:type="dxa" w:w="140"/>
            </w:tcMar>
          </w:tcPr>
          <w:p>
            <w:pPr>
              <w:spacing w:after="0"/>
            </w:pPr>
            <w:r>
              <w:rPr>
                <w:rFonts w:ascii="Arial" w:cs="Arial" w:eastAsia="Arial" w:hAnsi="Arial"/>
                <w:sz w:val="20"/>
                <w:szCs w:val="20"/>
              </w:rPr>
              <w:t xml:space="preserve">DuckDB</w:t>
            </w:r>
          </w:p>
        </w:tc>
        <w:tc>
          <w:tcPr>
            <w:tcW w:type="dxa" w:w="4080"/>
            <w:tcBorders>
              <w:top w:val="single" w:color="BFBFBF" w:sz="6"/>
              <w:left w:val="single" w:color="BFBFBF" w:sz="6"/>
              <w:bottom w:val="single" w:color="BFBFBF" w:sz="6"/>
              <w:right w:val="single" w:color="BFBFBF" w:sz="6"/>
            </w:tcBorders>
            <w:shd w:fill="F2F2F2" w:val="clear"/>
            <w:tcMar>
              <w:top w:type="dxa" w:w="90"/>
              <w:left w:type="dxa" w:w="140"/>
              <w:bottom w:type="dxa" w:w="90"/>
              <w:right w:type="dxa" w:w="140"/>
            </w:tcMar>
          </w:tcPr>
          <w:p>
            <w:pPr>
              <w:spacing w:after="0"/>
            </w:pPr>
            <w:r>
              <w:rPr>
                <w:rFonts w:ascii="Arial" w:cs="Arial" w:eastAsia="Arial" w:hAnsi="Arial"/>
                <w:sz w:val="20"/>
                <w:szCs w:val="20"/>
              </w:rPr>
              <w:t xml:space="preserve">Local, in-process OLAP SQL database for pre-calculated metrics.</w:t>
            </w:r>
          </w:p>
        </w:tc>
      </w:tr>
      <w:tr>
        <w:tc>
          <w:tcPr>
            <w:tcW w:type="dxa" w:w="2400"/>
            <w:tcBorders>
              <w:top w:val="single" w:color="BFBFBF" w:sz="6"/>
              <w:left w:val="single" w:color="BFBFBF" w:sz="6"/>
              <w:bottom w:val="single" w:color="BFBFBF" w:sz="6"/>
              <w:right w:val="single" w:color="BFBFBF" w:sz="6"/>
            </w:tcBorders>
            <w:tcMar>
              <w:top w:type="dxa" w:w="90"/>
              <w:left w:type="dxa" w:w="140"/>
              <w:bottom w:type="dxa" w:w="90"/>
              <w:right w:type="dxa" w:w="140"/>
            </w:tcMar>
          </w:tcPr>
          <w:p>
            <w:pPr>
              <w:spacing w:after="0"/>
            </w:pPr>
            <w:r>
              <w:rPr>
                <w:rFonts w:ascii="Arial" w:cs="Arial" w:eastAsia="Arial" w:hAnsi="Arial"/>
                <w:sz w:val="20"/>
                <w:szCs w:val="20"/>
              </w:rPr>
              <w:t xml:space="preserve">Context Engine</w:t>
            </w:r>
          </w:p>
        </w:tc>
        <w:tc>
          <w:tcPr>
            <w:tcW w:type="dxa" w:w="2880"/>
            <w:tcBorders>
              <w:top w:val="single" w:color="BFBFBF" w:sz="6"/>
              <w:left w:val="single" w:color="BFBFBF" w:sz="6"/>
              <w:bottom w:val="single" w:color="BFBFBF" w:sz="6"/>
              <w:right w:val="single" w:color="BFBFBF" w:sz="6"/>
            </w:tcBorders>
            <w:tcMar>
              <w:top w:type="dxa" w:w="90"/>
              <w:left w:type="dxa" w:w="140"/>
              <w:bottom w:type="dxa" w:w="90"/>
              <w:right w:type="dxa" w:w="140"/>
            </w:tcMar>
          </w:tcPr>
          <w:p>
            <w:pPr>
              <w:spacing w:after="0"/>
            </w:pPr>
            <w:r>
              <w:rPr>
                <w:rFonts w:ascii="Arial" w:cs="Arial" w:eastAsia="Arial" w:hAnsi="Arial"/>
                <w:sz w:val="20"/>
                <w:szCs w:val="20"/>
              </w:rPr>
              <w:t xml:space="preserve">ChromaDB / FAISS</w:t>
            </w:r>
          </w:p>
        </w:tc>
        <w:tc>
          <w:tcPr>
            <w:tcW w:type="dxa" w:w="4080"/>
            <w:tcBorders>
              <w:top w:val="single" w:color="BFBFBF" w:sz="6"/>
              <w:left w:val="single" w:color="BFBFBF" w:sz="6"/>
              <w:bottom w:val="single" w:color="BFBFBF" w:sz="6"/>
              <w:right w:val="single" w:color="BFBFBF" w:sz="6"/>
            </w:tcBorders>
            <w:tcMar>
              <w:top w:type="dxa" w:w="90"/>
              <w:left w:type="dxa" w:w="140"/>
              <w:bottom w:type="dxa" w:w="90"/>
              <w:right w:type="dxa" w:w="140"/>
            </w:tcMar>
          </w:tcPr>
          <w:p>
            <w:pPr>
              <w:spacing w:after="0"/>
            </w:pPr>
            <w:r>
              <w:rPr>
                <w:rFonts w:ascii="Arial" w:cs="Arial" w:eastAsia="Arial" w:hAnsi="Arial"/>
                <w:sz w:val="20"/>
                <w:szCs w:val="20"/>
              </w:rPr>
              <w:t xml:space="preserve">Local vector store for PDF embeddings to enable semantic retrieval.</w:t>
            </w:r>
          </w:p>
        </w:tc>
      </w:tr>
      <w:tr>
        <w:tc>
          <w:tcPr>
            <w:tcW w:type="dxa" w:w="2400"/>
            <w:tcBorders>
              <w:top w:val="single" w:color="BFBFBF" w:sz="6"/>
              <w:left w:val="single" w:color="BFBFBF" w:sz="6"/>
              <w:bottom w:val="single" w:color="BFBFBF" w:sz="6"/>
              <w:right w:val="single" w:color="BFBFBF" w:sz="6"/>
            </w:tcBorders>
            <w:shd w:fill="F2F2F2" w:val="clear"/>
            <w:tcMar>
              <w:top w:type="dxa" w:w="90"/>
              <w:left w:type="dxa" w:w="140"/>
              <w:bottom w:type="dxa" w:w="90"/>
              <w:right w:type="dxa" w:w="140"/>
            </w:tcMar>
          </w:tcPr>
          <w:p>
            <w:pPr>
              <w:spacing w:after="0"/>
            </w:pPr>
            <w:r>
              <w:rPr>
                <w:rFonts w:ascii="Arial" w:cs="Arial" w:eastAsia="Arial" w:hAnsi="Arial"/>
                <w:sz w:val="20"/>
                <w:szCs w:val="20"/>
              </w:rPr>
              <w:t xml:space="preserve">Orchestration</w:t>
            </w:r>
          </w:p>
        </w:tc>
        <w:tc>
          <w:tcPr>
            <w:tcW w:type="dxa" w:w="2880"/>
            <w:tcBorders>
              <w:top w:val="single" w:color="BFBFBF" w:sz="6"/>
              <w:left w:val="single" w:color="BFBFBF" w:sz="6"/>
              <w:bottom w:val="single" w:color="BFBFBF" w:sz="6"/>
              <w:right w:val="single" w:color="BFBFBF" w:sz="6"/>
            </w:tcBorders>
            <w:shd w:fill="F2F2F2" w:val="clear"/>
            <w:tcMar>
              <w:top w:type="dxa" w:w="90"/>
              <w:left w:type="dxa" w:w="140"/>
              <w:bottom w:type="dxa" w:w="90"/>
              <w:right w:type="dxa" w:w="140"/>
            </w:tcMar>
          </w:tcPr>
          <w:p>
            <w:pPr>
              <w:spacing w:after="0"/>
            </w:pPr>
            <w:r>
              <w:rPr>
                <w:rFonts w:ascii="Arial" w:cs="Arial" w:eastAsia="Arial" w:hAnsi="Arial"/>
                <w:sz w:val="20"/>
                <w:szCs w:val="20"/>
              </w:rPr>
              <w:t xml:space="preserve">LangChain / AutoGen</w:t>
            </w:r>
          </w:p>
        </w:tc>
        <w:tc>
          <w:tcPr>
            <w:tcW w:type="dxa" w:w="4080"/>
            <w:tcBorders>
              <w:top w:val="single" w:color="BFBFBF" w:sz="6"/>
              <w:left w:val="single" w:color="BFBFBF" w:sz="6"/>
              <w:bottom w:val="single" w:color="BFBFBF" w:sz="6"/>
              <w:right w:val="single" w:color="BFBFBF" w:sz="6"/>
            </w:tcBorders>
            <w:shd w:fill="F2F2F2" w:val="clear"/>
            <w:tcMar>
              <w:top w:type="dxa" w:w="90"/>
              <w:left w:type="dxa" w:w="140"/>
              <w:bottom w:type="dxa" w:w="90"/>
              <w:right w:type="dxa" w:w="140"/>
            </w:tcMar>
          </w:tcPr>
          <w:p>
            <w:pPr>
              <w:spacing w:after="0"/>
            </w:pPr>
            <w:r>
              <w:rPr>
                <w:rFonts w:ascii="Arial" w:cs="Arial" w:eastAsia="Arial" w:hAnsi="Arial"/>
                <w:sz w:val="20"/>
                <w:szCs w:val="20"/>
              </w:rPr>
              <w:t xml:space="preserve">Local framework managing AI tool calls, routing, and conversational memory.</w:t>
            </w:r>
          </w:p>
        </w:tc>
      </w:tr>
      <w:tr>
        <w:tc>
          <w:tcPr>
            <w:tcW w:type="dxa" w:w="2400"/>
            <w:tcBorders>
              <w:top w:val="single" w:color="BFBFBF" w:sz="6"/>
              <w:left w:val="single" w:color="BFBFBF" w:sz="6"/>
              <w:bottom w:val="single" w:color="BFBFBF" w:sz="6"/>
              <w:right w:val="single" w:color="BFBFBF" w:sz="6"/>
            </w:tcBorders>
            <w:tcMar>
              <w:top w:type="dxa" w:w="90"/>
              <w:left w:type="dxa" w:w="140"/>
              <w:bottom w:type="dxa" w:w="90"/>
              <w:right w:type="dxa" w:w="140"/>
            </w:tcMar>
          </w:tcPr>
          <w:p>
            <w:pPr>
              <w:spacing w:after="0"/>
            </w:pPr>
            <w:r>
              <w:rPr>
                <w:rFonts w:ascii="Arial" w:cs="Arial" w:eastAsia="Arial" w:hAnsi="Arial"/>
                <w:sz w:val="20"/>
                <w:szCs w:val="20"/>
              </w:rPr>
              <w:t xml:space="preserve">Reasoning Layer</w:t>
            </w:r>
          </w:p>
        </w:tc>
        <w:tc>
          <w:tcPr>
            <w:tcW w:type="dxa" w:w="2880"/>
            <w:tcBorders>
              <w:top w:val="single" w:color="BFBFBF" w:sz="6"/>
              <w:left w:val="single" w:color="BFBFBF" w:sz="6"/>
              <w:bottom w:val="single" w:color="BFBFBF" w:sz="6"/>
              <w:right w:val="single" w:color="BFBFBF" w:sz="6"/>
            </w:tcBorders>
            <w:tcMar>
              <w:top w:type="dxa" w:w="90"/>
              <w:left w:type="dxa" w:w="140"/>
              <w:bottom w:type="dxa" w:w="90"/>
              <w:right w:type="dxa" w:w="140"/>
            </w:tcMar>
          </w:tcPr>
          <w:p>
            <w:pPr>
              <w:spacing w:after="0"/>
            </w:pPr>
            <w:r>
              <w:rPr>
                <w:rFonts w:ascii="Arial" w:cs="Arial" w:eastAsia="Arial" w:hAnsi="Arial"/>
                <w:sz w:val="20"/>
                <w:szCs w:val="20"/>
              </w:rPr>
              <w:t xml:space="preserve">Enterprise Cloud API (e.g., GPT-4o, Claude 3.5)</w:t>
            </w:r>
          </w:p>
        </w:tc>
        <w:tc>
          <w:tcPr>
            <w:tcW w:type="dxa" w:w="4080"/>
            <w:tcBorders>
              <w:top w:val="single" w:color="BFBFBF" w:sz="6"/>
              <w:left w:val="single" w:color="BFBFBF" w:sz="6"/>
              <w:bottom w:val="single" w:color="BFBFBF" w:sz="6"/>
              <w:right w:val="single" w:color="BFBFBF" w:sz="6"/>
            </w:tcBorders>
            <w:tcMar>
              <w:top w:type="dxa" w:w="90"/>
              <w:left w:type="dxa" w:w="140"/>
              <w:bottom w:type="dxa" w:w="90"/>
              <w:right w:type="dxa" w:w="140"/>
            </w:tcMar>
          </w:tcPr>
          <w:p>
            <w:pPr>
              <w:spacing w:after="0"/>
            </w:pPr>
            <w:r>
              <w:rPr>
                <w:rFonts w:ascii="Arial" w:cs="Arial" w:eastAsia="Arial" w:hAnsi="Arial"/>
                <w:sz w:val="20"/>
                <w:szCs w:val="20"/>
              </w:rPr>
              <w:t xml:space="preserve">Interprets intent and formats tool outputs into plain English (Zero-day retention).</w:t>
            </w:r>
          </w:p>
        </w:tc>
      </w:tr>
      <w:tr>
        <w:tc>
          <w:tcPr>
            <w:tcW w:type="dxa" w:w="2400"/>
            <w:tcBorders>
              <w:top w:val="single" w:color="BFBFBF" w:sz="6"/>
              <w:left w:val="single" w:color="BFBFBF" w:sz="6"/>
              <w:bottom w:val="single" w:color="BFBFBF" w:sz="6"/>
              <w:right w:val="single" w:color="BFBFBF" w:sz="6"/>
            </w:tcBorders>
            <w:shd w:fill="F2F2F2" w:val="clear"/>
            <w:tcMar>
              <w:top w:type="dxa" w:w="90"/>
              <w:left w:type="dxa" w:w="140"/>
              <w:bottom w:type="dxa" w:w="90"/>
              <w:right w:type="dxa" w:w="140"/>
            </w:tcMar>
          </w:tcPr>
          <w:p>
            <w:pPr>
              <w:spacing w:after="0"/>
            </w:pPr>
            <w:r>
              <w:rPr>
                <w:rFonts w:ascii="Arial" w:cs="Arial" w:eastAsia="Arial" w:hAnsi="Arial"/>
                <w:sz w:val="20"/>
                <w:szCs w:val="20"/>
              </w:rPr>
              <w:t xml:space="preserve">User Interface</w:t>
            </w:r>
          </w:p>
        </w:tc>
        <w:tc>
          <w:tcPr>
            <w:tcW w:type="dxa" w:w="2880"/>
            <w:tcBorders>
              <w:top w:val="single" w:color="BFBFBF" w:sz="6"/>
              <w:left w:val="single" w:color="BFBFBF" w:sz="6"/>
              <w:bottom w:val="single" w:color="BFBFBF" w:sz="6"/>
              <w:right w:val="single" w:color="BFBFBF" w:sz="6"/>
            </w:tcBorders>
            <w:shd w:fill="F2F2F2" w:val="clear"/>
            <w:tcMar>
              <w:top w:type="dxa" w:w="90"/>
              <w:left w:type="dxa" w:w="140"/>
              <w:bottom w:type="dxa" w:w="90"/>
              <w:right w:type="dxa" w:w="140"/>
            </w:tcMar>
          </w:tcPr>
          <w:p>
            <w:pPr>
              <w:spacing w:after="0"/>
            </w:pPr>
            <w:r>
              <w:rPr>
                <w:rFonts w:ascii="Arial" w:cs="Arial" w:eastAsia="Arial" w:hAnsi="Arial"/>
                <w:sz w:val="20"/>
                <w:szCs w:val="20"/>
              </w:rPr>
              <w:t xml:space="preserve">Streamlit</w:t>
            </w:r>
          </w:p>
        </w:tc>
        <w:tc>
          <w:tcPr>
            <w:tcW w:type="dxa" w:w="4080"/>
            <w:tcBorders>
              <w:top w:val="single" w:color="BFBFBF" w:sz="6"/>
              <w:left w:val="single" w:color="BFBFBF" w:sz="6"/>
              <w:bottom w:val="single" w:color="BFBFBF" w:sz="6"/>
              <w:right w:val="single" w:color="BFBFBF" w:sz="6"/>
            </w:tcBorders>
            <w:shd w:fill="F2F2F2" w:val="clear"/>
            <w:tcMar>
              <w:top w:type="dxa" w:w="90"/>
              <w:left w:type="dxa" w:w="140"/>
              <w:bottom w:type="dxa" w:w="90"/>
              <w:right w:type="dxa" w:w="140"/>
            </w:tcMar>
          </w:tcPr>
          <w:p>
            <w:pPr>
              <w:spacing w:after="0"/>
            </w:pPr>
            <w:r>
              <w:rPr>
                <w:rFonts w:ascii="Arial" w:cs="Arial" w:eastAsia="Arial" w:hAnsi="Arial"/>
                <w:sz w:val="20"/>
                <w:szCs w:val="20"/>
              </w:rPr>
              <w:t xml:space="preserve">Local web frontend for drag-and-drop file ingestion and chat interactions.</w:t>
            </w:r>
          </w:p>
        </w:tc>
      </w:tr>
    </w:tbl>
    <w:p>
      <w:pPr>
        <w:spacing w:after="120"/>
      </w:pPr>
    </w:p>
    <w:p>
      <w:pPr>
        <w:pBdr>
          <w:top w:val="single" w:color="E8D285" w:sz="4" w:space="4"/>
          <w:left w:val="single" w:color="C9A227" w:sz="18" w:space="6"/>
          <w:bottom w:val="single" w:color="E8D285" w:sz="4" w:space="4"/>
          <w:right w:val="single" w:color="E8D285" w:sz="4" w:space="4"/>
        </w:pBdr>
        <w:shd w:fill="FFF4CE" w:val="clear"/>
        <w:spacing w:after="140" w:before="100" w:line="300"/>
      </w:pPr>
      <w:r>
        <w:rPr>
          <w:rFonts w:ascii="Arial" w:cs="Arial" w:eastAsia="Arial" w:hAnsi="Arial"/>
          <w:b/>
          <w:bCs/>
          <w:color w:val="8A6D11"/>
          <w:sz w:val="20"/>
          <w:szCs w:val="20"/>
        </w:rPr>
        <w:t xml:space="preserve">REVISION v1.1 — </w:t>
      </w:r>
      <w:r>
        <w:rPr>
          <w:rFonts w:ascii="Arial" w:cs="Arial" w:eastAsia="Arial" w:hAnsi="Arial"/>
          <w:color w:val="3D2F00"/>
          <w:sz w:val="20"/>
          <w:szCs w:val="20"/>
        </w:rPr>
        <w:t xml:space="preserve">Two components added to the stack, reflecting the load-bearing role of ingestion. (a) Schema-Mapping LLM — a separate, small-context LLM call dedicated to proposing column→canonical-field mappings for each new file, with deterministic validation gates. This is distinct from the conversational reasoning layer. (b) Reconciliation Engine — a deterministic Python module that compares facts across source documents at ingest time and emits a conflict report. Both run locally.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80"/>
        <w:gridCol w:w="4080"/>
      </w:tblGrid>
      <w:tr>
        <w:trPr>
          <w:tblHeader/>
        </w:trPr>
        <w:tc>
          <w:tcPr>
            <w:tcW w:type="dxa" w:w="2400"/>
            <w:tcBorders>
              <w:top w:val="single" w:color="BFBFBF" w:sz="6"/>
              <w:left w:val="single" w:color="BFBFBF" w:sz="6"/>
              <w:bottom w:val="single" w:color="BFBFBF" w:sz="6"/>
              <w:right w:val="single" w:color="BFBFBF" w:sz="6"/>
            </w:tcBorders>
            <w:shd w:fill="1F3864" w:val="clear"/>
            <w:tcMar>
              <w:top w:type="dxa" w:w="100"/>
              <w:left w:type="dxa" w:w="140"/>
              <w:bottom w:type="dxa" w:w="100"/>
              <w:right w:type="dxa" w:w="140"/>
            </w:tcMar>
          </w:tcPr>
          <w:p>
            <w:pPr>
              <w:spacing w:after="0"/>
            </w:pPr>
            <w:r>
              <w:rPr>
                <w:rFonts w:ascii="Arial" w:cs="Arial" w:eastAsia="Arial" w:hAnsi="Arial"/>
                <w:b/>
                <w:bCs/>
                <w:color w:val="FFFFFF"/>
                <w:sz w:val="21"/>
                <w:szCs w:val="21"/>
              </w:rPr>
              <w:t xml:space="preserve">Component (NEW)</w:t>
            </w:r>
          </w:p>
        </w:tc>
        <w:tc>
          <w:tcPr>
            <w:tcW w:type="dxa" w:w="2880"/>
            <w:tcBorders>
              <w:top w:val="single" w:color="BFBFBF" w:sz="6"/>
              <w:left w:val="single" w:color="BFBFBF" w:sz="6"/>
              <w:bottom w:val="single" w:color="BFBFBF" w:sz="6"/>
              <w:right w:val="single" w:color="BFBFBF" w:sz="6"/>
            </w:tcBorders>
            <w:shd w:fill="1F3864" w:val="clear"/>
            <w:tcMar>
              <w:top w:type="dxa" w:w="100"/>
              <w:left w:type="dxa" w:w="140"/>
              <w:bottom w:type="dxa" w:w="100"/>
              <w:right w:type="dxa" w:w="140"/>
            </w:tcMar>
          </w:tcPr>
          <w:p>
            <w:pPr>
              <w:spacing w:after="0"/>
            </w:pPr>
            <w:r>
              <w:rPr>
                <w:rFonts w:ascii="Arial" w:cs="Arial" w:eastAsia="Arial" w:hAnsi="Arial"/>
                <w:b/>
                <w:bCs/>
                <w:color w:val="FFFFFF"/>
                <w:sz w:val="21"/>
                <w:szCs w:val="21"/>
              </w:rPr>
              <w:t xml:space="preserve">Selected Technology</w:t>
            </w:r>
          </w:p>
        </w:tc>
        <w:tc>
          <w:tcPr>
            <w:tcW w:type="dxa" w:w="4080"/>
            <w:tcBorders>
              <w:top w:val="single" w:color="BFBFBF" w:sz="6"/>
              <w:left w:val="single" w:color="BFBFBF" w:sz="6"/>
              <w:bottom w:val="single" w:color="BFBFBF" w:sz="6"/>
              <w:right w:val="single" w:color="BFBFBF" w:sz="6"/>
            </w:tcBorders>
            <w:shd w:fill="1F3864" w:val="clear"/>
            <w:tcMar>
              <w:top w:type="dxa" w:w="100"/>
              <w:left w:type="dxa" w:w="140"/>
              <w:bottom w:type="dxa" w:w="100"/>
              <w:right w:type="dxa" w:w="140"/>
            </w:tcMar>
          </w:tcPr>
          <w:p>
            <w:pPr>
              <w:spacing w:after="0"/>
            </w:pPr>
            <w:r>
              <w:rPr>
                <w:rFonts w:ascii="Arial" w:cs="Arial" w:eastAsia="Arial" w:hAnsi="Arial"/>
                <w:b/>
                <w:bCs/>
                <w:color w:val="FFFFFF"/>
                <w:sz w:val="21"/>
                <w:szCs w:val="21"/>
              </w:rPr>
              <w:t xml:space="preserve">Purpose</w:t>
            </w:r>
          </w:p>
        </w:tc>
      </w:tr>
      <w:tr>
        <w:tc>
          <w:tcPr>
            <w:tcW w:type="dxa" w:w="2400"/>
            <w:tcBorders>
              <w:top w:val="single" w:color="BFBFBF" w:sz="6"/>
              <w:left w:val="single" w:color="BFBFBF" w:sz="6"/>
              <w:bottom w:val="single" w:color="BFBFBF" w:sz="6"/>
              <w:right w:val="single" w:color="BFBFBF" w:sz="6"/>
            </w:tcBorders>
            <w:tcMar>
              <w:top w:type="dxa" w:w="90"/>
              <w:left w:type="dxa" w:w="140"/>
              <w:bottom w:type="dxa" w:w="90"/>
              <w:right w:type="dxa" w:w="140"/>
            </w:tcMar>
          </w:tcPr>
          <w:p>
            <w:pPr>
              <w:spacing w:after="0"/>
            </w:pPr>
            <w:r>
              <w:rPr>
                <w:rFonts w:ascii="Arial" w:cs="Arial" w:eastAsia="Arial" w:hAnsi="Arial"/>
                <w:sz w:val="20"/>
                <w:szCs w:val="20"/>
              </w:rPr>
              <w:t xml:space="preserve">Schema Mapper</w:t>
            </w:r>
          </w:p>
        </w:tc>
        <w:tc>
          <w:tcPr>
            <w:tcW w:type="dxa" w:w="2880"/>
            <w:tcBorders>
              <w:top w:val="single" w:color="BFBFBF" w:sz="6"/>
              <w:left w:val="single" w:color="BFBFBF" w:sz="6"/>
              <w:bottom w:val="single" w:color="BFBFBF" w:sz="6"/>
              <w:right w:val="single" w:color="BFBFBF" w:sz="6"/>
            </w:tcBorders>
            <w:tcMar>
              <w:top w:type="dxa" w:w="90"/>
              <w:left w:type="dxa" w:w="140"/>
              <w:bottom w:type="dxa" w:w="90"/>
              <w:right w:type="dxa" w:w="140"/>
            </w:tcMar>
          </w:tcPr>
          <w:p>
            <w:pPr>
              <w:spacing w:after="0"/>
            </w:pPr>
            <w:r>
              <w:rPr>
                <w:rFonts w:ascii="Arial" w:cs="Arial" w:eastAsia="Arial" w:hAnsi="Arial"/>
                <w:sz w:val="20"/>
                <w:szCs w:val="20"/>
              </w:rPr>
              <w:t xml:space="preserve">Local LLM call + Pydantic validators</w:t>
            </w:r>
          </w:p>
        </w:tc>
        <w:tc>
          <w:tcPr>
            <w:tcW w:type="dxa" w:w="4080"/>
            <w:tcBorders>
              <w:top w:val="single" w:color="BFBFBF" w:sz="6"/>
              <w:left w:val="single" w:color="BFBFBF" w:sz="6"/>
              <w:bottom w:val="single" w:color="BFBFBF" w:sz="6"/>
              <w:right w:val="single" w:color="BFBFBF" w:sz="6"/>
            </w:tcBorders>
            <w:tcMar>
              <w:top w:type="dxa" w:w="90"/>
              <w:left w:type="dxa" w:w="140"/>
              <w:bottom w:type="dxa" w:w="90"/>
              <w:right w:type="dxa" w:w="140"/>
            </w:tcMar>
          </w:tcPr>
          <w:p>
            <w:pPr>
              <w:spacing w:after="0"/>
            </w:pPr>
            <w:r>
              <w:rPr>
                <w:rFonts w:ascii="Arial" w:cs="Arial" w:eastAsia="Arial" w:hAnsi="Arial"/>
                <w:sz w:val="20"/>
                <w:szCs w:val="20"/>
              </w:rPr>
              <w:t xml:space="preserve">Proposes column-to-canonical-field mappings for new files; validators enforce sum checks, unit consistency, and total reconciliation.</w:t>
            </w:r>
          </w:p>
        </w:tc>
      </w:tr>
      <w:tr>
        <w:tc>
          <w:tcPr>
            <w:tcW w:type="dxa" w:w="2400"/>
            <w:tcBorders>
              <w:top w:val="single" w:color="BFBFBF" w:sz="6"/>
              <w:left w:val="single" w:color="BFBFBF" w:sz="6"/>
              <w:bottom w:val="single" w:color="BFBFBF" w:sz="6"/>
              <w:right w:val="single" w:color="BFBFBF" w:sz="6"/>
            </w:tcBorders>
            <w:shd w:fill="F2F2F2" w:val="clear"/>
            <w:tcMar>
              <w:top w:type="dxa" w:w="90"/>
              <w:left w:type="dxa" w:w="140"/>
              <w:bottom w:type="dxa" w:w="90"/>
              <w:right w:type="dxa" w:w="140"/>
            </w:tcMar>
          </w:tcPr>
          <w:p>
            <w:pPr>
              <w:spacing w:after="0"/>
            </w:pPr>
            <w:r>
              <w:rPr>
                <w:rFonts w:ascii="Arial" w:cs="Arial" w:eastAsia="Arial" w:hAnsi="Arial"/>
                <w:sz w:val="20"/>
                <w:szCs w:val="20"/>
              </w:rPr>
              <w:t xml:space="preserve">Reconciliation Engine</w:t>
            </w:r>
          </w:p>
        </w:tc>
        <w:tc>
          <w:tcPr>
            <w:tcW w:type="dxa" w:w="2880"/>
            <w:tcBorders>
              <w:top w:val="single" w:color="BFBFBF" w:sz="6"/>
              <w:left w:val="single" w:color="BFBFBF" w:sz="6"/>
              <w:bottom w:val="single" w:color="BFBFBF" w:sz="6"/>
              <w:right w:val="single" w:color="BFBFBF" w:sz="6"/>
            </w:tcBorders>
            <w:shd w:fill="F2F2F2" w:val="clear"/>
            <w:tcMar>
              <w:top w:type="dxa" w:w="90"/>
              <w:left w:type="dxa" w:w="140"/>
              <w:bottom w:type="dxa" w:w="90"/>
              <w:right w:type="dxa" w:w="140"/>
            </w:tcMar>
          </w:tcPr>
          <w:p>
            <w:pPr>
              <w:spacing w:after="0"/>
            </w:pPr>
            <w:r>
              <w:rPr>
                <w:rFonts w:ascii="Arial" w:cs="Arial" w:eastAsia="Arial" w:hAnsi="Arial"/>
                <w:sz w:val="20"/>
                <w:szCs w:val="20"/>
              </w:rPr>
              <w:t xml:space="preserve">Python (deterministic)</w:t>
            </w:r>
          </w:p>
        </w:tc>
        <w:tc>
          <w:tcPr>
            <w:tcW w:type="dxa" w:w="4080"/>
            <w:tcBorders>
              <w:top w:val="single" w:color="BFBFBF" w:sz="6"/>
              <w:left w:val="single" w:color="BFBFBF" w:sz="6"/>
              <w:bottom w:val="single" w:color="BFBFBF" w:sz="6"/>
              <w:right w:val="single" w:color="BFBFBF" w:sz="6"/>
            </w:tcBorders>
            <w:shd w:fill="F2F2F2" w:val="clear"/>
            <w:tcMar>
              <w:top w:type="dxa" w:w="90"/>
              <w:left w:type="dxa" w:w="140"/>
              <w:bottom w:type="dxa" w:w="90"/>
              <w:right w:type="dxa" w:w="140"/>
            </w:tcMar>
          </w:tcPr>
          <w:p>
            <w:pPr>
              <w:spacing w:after="0"/>
            </w:pPr>
            <w:r>
              <w:rPr>
                <w:rFonts w:ascii="Arial" w:cs="Arial" w:eastAsia="Arial" w:hAnsi="Arial"/>
                <w:sz w:val="20"/>
                <w:szCs w:val="20"/>
              </w:rPr>
              <w:t xml:space="preserve">Compares (entity, metric, period) facts across sources at ingest; produces conflict report consumed by the onboarding conversation.</w:t>
            </w:r>
          </w:p>
        </w:tc>
      </w:tr>
      <w:tr>
        <w:tc>
          <w:tcPr>
            <w:tcW w:type="dxa" w:w="2400"/>
            <w:tcBorders>
              <w:top w:val="single" w:color="BFBFBF" w:sz="6"/>
              <w:left w:val="single" w:color="BFBFBF" w:sz="6"/>
              <w:bottom w:val="single" w:color="BFBFBF" w:sz="6"/>
              <w:right w:val="single" w:color="BFBFBF" w:sz="6"/>
            </w:tcBorders>
            <w:tcMar>
              <w:top w:type="dxa" w:w="90"/>
              <w:left w:type="dxa" w:w="140"/>
              <w:bottom w:type="dxa" w:w="90"/>
              <w:right w:type="dxa" w:w="140"/>
            </w:tcMar>
          </w:tcPr>
          <w:p>
            <w:pPr>
              <w:spacing w:after="0"/>
            </w:pPr>
            <w:r>
              <w:rPr>
                <w:rFonts w:ascii="Arial" w:cs="Arial" w:eastAsia="Arial" w:hAnsi="Arial"/>
                <w:sz w:val="20"/>
                <w:szCs w:val="20"/>
              </w:rPr>
              <w:t xml:space="preserve">Ingestion Review UI (SUPERSEDED in v1.2)</w:t>
            </w:r>
          </w:p>
        </w:tc>
        <w:tc>
          <w:tcPr>
            <w:tcW w:type="dxa" w:w="2880"/>
            <w:tcBorders>
              <w:top w:val="single" w:color="BFBFBF" w:sz="6"/>
              <w:left w:val="single" w:color="BFBFBF" w:sz="6"/>
              <w:bottom w:val="single" w:color="BFBFBF" w:sz="6"/>
              <w:right w:val="single" w:color="BFBFBF" w:sz="6"/>
            </w:tcBorders>
            <w:tcMar>
              <w:top w:type="dxa" w:w="90"/>
              <w:left w:type="dxa" w:w="140"/>
              <w:bottom w:type="dxa" w:w="90"/>
              <w:right w:type="dxa" w:w="140"/>
            </w:tcMar>
          </w:tcPr>
          <w:p>
            <w:pPr>
              <w:spacing w:after="0"/>
            </w:pPr>
            <w:r>
              <w:rPr>
                <w:rFonts w:ascii="Arial" w:cs="Arial" w:eastAsia="Arial" w:hAnsi="Arial"/>
                <w:sz w:val="20"/>
                <w:szCs w:val="20"/>
              </w:rPr>
              <w:t xml:space="preserve">Streamlit (separate page)</w:t>
            </w:r>
          </w:p>
        </w:tc>
        <w:tc>
          <w:tcPr>
            <w:tcW w:type="dxa" w:w="4080"/>
            <w:tcBorders>
              <w:top w:val="single" w:color="BFBFBF" w:sz="6"/>
              <w:left w:val="single" w:color="BFBFBF" w:sz="6"/>
              <w:bottom w:val="single" w:color="BFBFBF" w:sz="6"/>
              <w:right w:val="single" w:color="BFBFBF" w:sz="6"/>
            </w:tcBorders>
            <w:tcMar>
              <w:top w:type="dxa" w:w="90"/>
              <w:left w:type="dxa" w:w="140"/>
              <w:bottom w:type="dxa" w:w="90"/>
              <w:right w:type="dxa" w:w="140"/>
            </w:tcMar>
          </w:tcPr>
          <w:p>
            <w:pPr>
              <w:spacing w:after="0"/>
            </w:pPr>
            <w:r>
              <w:rPr>
                <w:rFonts w:ascii="Arial" w:cs="Arial" w:eastAsia="Arial" w:hAnsi="Arial"/>
                <w:sz w:val="20"/>
                <w:szCs w:val="20"/>
              </w:rPr>
              <w:t xml:space="preserve">REMOVED in v1.2 — see Onboarding Conversation Engine below. Kept here for historical traceability.</w:t>
            </w:r>
          </w:p>
        </w:tc>
      </w:tr>
      <w:tr>
        <w:tc>
          <w:tcPr>
            <w:tcW w:type="dxa" w:w="2400"/>
            <w:tcBorders>
              <w:top w:val="single" w:color="BFBFBF" w:sz="6"/>
              <w:left w:val="single" w:color="BFBFBF" w:sz="6"/>
              <w:bottom w:val="single" w:color="BFBFBF" w:sz="6"/>
              <w:right w:val="single" w:color="BFBFBF" w:sz="6"/>
            </w:tcBorders>
            <w:shd w:fill="F2F2F2" w:val="clear"/>
            <w:tcMar>
              <w:top w:type="dxa" w:w="90"/>
              <w:left w:type="dxa" w:w="140"/>
              <w:bottom w:type="dxa" w:w="90"/>
              <w:right w:type="dxa" w:w="140"/>
            </w:tcMar>
          </w:tcPr>
          <w:p>
            <w:pPr>
              <w:spacing w:after="0"/>
            </w:pPr>
            <w:r>
              <w:rPr>
                <w:rFonts w:ascii="Arial" w:cs="Arial" w:eastAsia="Arial" w:hAnsi="Arial"/>
                <w:sz w:val="20"/>
                <w:szCs w:val="20"/>
              </w:rPr>
              <w:t xml:space="preserve">Onboarding Conversation Engine (v1.2)</w:t>
            </w:r>
          </w:p>
        </w:tc>
        <w:tc>
          <w:tcPr>
            <w:tcW w:type="dxa" w:w="2880"/>
            <w:tcBorders>
              <w:top w:val="single" w:color="BFBFBF" w:sz="6"/>
              <w:left w:val="single" w:color="BFBFBF" w:sz="6"/>
              <w:bottom w:val="single" w:color="BFBFBF" w:sz="6"/>
              <w:right w:val="single" w:color="BFBFBF" w:sz="6"/>
            </w:tcBorders>
            <w:shd w:fill="F2F2F2" w:val="clear"/>
            <w:tcMar>
              <w:top w:type="dxa" w:w="90"/>
              <w:left w:type="dxa" w:w="140"/>
              <w:bottom w:type="dxa" w:w="90"/>
              <w:right w:type="dxa" w:w="140"/>
            </w:tcMar>
          </w:tcPr>
          <w:p>
            <w:pPr>
              <w:spacing w:after="0"/>
            </w:pPr>
            <w:r>
              <w:rPr>
                <w:rFonts w:ascii="Arial" w:cs="Arial" w:eastAsia="Arial" w:hAnsi="Arial"/>
                <w:sz w:val="20"/>
                <w:szCs w:val="20"/>
              </w:rPr>
              <w:t xml:space="preserve">LLM call + structured templates</w:t>
            </w:r>
          </w:p>
        </w:tc>
        <w:tc>
          <w:tcPr>
            <w:tcW w:type="dxa" w:w="4080"/>
            <w:tcBorders>
              <w:top w:val="single" w:color="BFBFBF" w:sz="6"/>
              <w:left w:val="single" w:color="BFBFBF" w:sz="6"/>
              <w:bottom w:val="single" w:color="BFBFBF" w:sz="6"/>
              <w:right w:val="single" w:color="BFBFBF" w:sz="6"/>
            </w:tcBorders>
            <w:shd w:fill="F2F2F2" w:val="clear"/>
            <w:tcMar>
              <w:top w:type="dxa" w:w="90"/>
              <w:left w:type="dxa" w:w="140"/>
              <w:bottom w:type="dxa" w:w="90"/>
              <w:right w:type="dxa" w:w="140"/>
            </w:tcMar>
          </w:tcPr>
          <w:p>
            <w:pPr>
              <w:spacing w:after="0"/>
            </w:pPr>
            <w:r>
              <w:rPr>
                <w:rFonts w:ascii="Arial" w:cs="Arial" w:eastAsia="Arial" w:hAnsi="Arial"/>
                <w:sz w:val="20"/>
                <w:szCs w:val="20"/>
              </w:rPr>
              <w:t xml:space="preserve">Generates the bot's first chat message after a file is uploaded. Surfaces every interpretation decision in plain language, lists detected sheets and inferred metrics, and asks blocking questions for cross-source conflicts. Acknowledgment unlocks DuckDB facts for queries.</w:t>
            </w:r>
          </w:p>
        </w:tc>
      </w:tr>
    </w:tbl>
    <w:p>
      <w:pPr>
        <w:pBdr>
          <w:top w:val="single" w:color="F4B084" w:sz="4" w:space="4"/>
          <w:left w:val="single" w:color="C65911" w:sz="18" w:space="6"/>
          <w:bottom w:val="single" w:color="F4B084" w:sz="4" w:space="4"/>
          <w:right w:val="single" w:color="F4B084" w:sz="4" w:space="4"/>
        </w:pBdr>
        <w:shd w:fill="FCE4D6" w:val="clear"/>
        <w:spacing w:after="140" w:before="100" w:line="300"/>
      </w:pPr>
      <w:r>
        <w:rPr>
          <w:rFonts w:ascii="Arial" w:cs="Arial" w:eastAsia="Arial" w:hAnsi="Arial"/>
          <w:b/>
          <w:bCs/>
          <w:color w:val="C65911"/>
          <w:sz w:val="20"/>
          <w:szCs w:val="20"/>
        </w:rPr>
        <w:t xml:space="preserve">REVISION v1.2 — </w:t>
      </w:r>
      <w:r>
        <w:rPr>
          <w:rFonts w:ascii="Arial" w:cs="Arial" w:eastAsia="Arial" w:hAnsi="Arial"/>
          <w:color w:val="5A2A0A"/>
          <w:sz w:val="20"/>
          <w:szCs w:val="20"/>
        </w:rPr>
        <w:t xml:space="preserve">The Ingestion Review UI from v1.1 is removed because the product targets non-technical users in a chat-first surface. Its functions move into the Onboarding Conversation Engine, which produces a chat message rather than a separate page. The engine has the same gating responsibility — facts are not queryable until the user acknowledges the message — but the affordance is conversational, not technical.</w:t>
      </w:r>
    </w:p>
    <w:p>
      <w:pPr>
        <w:pStyle w:val="Heading1"/>
        <w:spacing w:after="160" w:before="280"/>
      </w:pPr>
      <w:r>
        <w:rPr>
          <w:rFonts w:ascii="Arial" w:cs="Arial" w:eastAsia="Arial" w:hAnsi="Arial"/>
          <w:b/>
          <w:bCs/>
          <w:sz w:val="32"/>
          <w:szCs w:val="32"/>
        </w:rPr>
        <w:t xml:space="preserve">4. Phased Implementation Roadmap</w:t>
      </w:r>
    </w:p>
    <w:p>
      <w:pPr>
        <w:pStyle w:val="Heading2"/>
        <w:spacing w:after="120" w:before="220"/>
      </w:pPr>
      <w:r>
        <w:rPr>
          <w:rFonts w:ascii="Arial" w:cs="Arial" w:eastAsia="Arial" w:hAnsi="Arial"/>
          <w:b/>
          <w:bCs/>
          <w:sz w:val="26"/>
          <w:szCs w:val="26"/>
        </w:rPr>
        <w:t xml:space="preserve">Phase 1: Quantitative Pipeline (Structured DB)</w:t>
      </w:r>
    </w:p>
    <w:p>
      <w:pPr>
        <w:spacing w:after="120" w:line="300"/>
      </w:pPr>
      <w:r>
        <w:rPr>
          <w:rFonts w:ascii="Arial" w:cs="Arial" w:eastAsia="Arial" w:hAnsi="Arial"/>
          <w:b/>
          <w:bCs/>
          <w:sz w:val="22"/>
          <w:szCs w:val="22"/>
        </w:rPr>
        <w:t xml:space="preserve">Goal: </w:t>
      </w:r>
      <w:r>
        <w:rPr>
          <w:rFonts w:ascii="Arial" w:cs="Arial" w:eastAsia="Arial" w:hAnsi="Arial"/>
          <w:sz w:val="22"/>
          <w:szCs w:val="22"/>
        </w:rPr>
        <w:t xml:space="preserve">Establish local ingestion for hard financial metrics.</w:t>
      </w:r>
    </w:p>
    <w:p>
      <w:pPr>
        <w:pStyle w:val="ListParagraph"/>
        <w:numPr>
          <w:ilvl w:val="0"/>
          <w:numId w:val="2"/>
        </w:numPr>
        <w:spacing w:after="80" w:line="300"/>
      </w:pPr>
      <w:r>
        <w:rPr>
          <w:rFonts w:ascii="Arial" w:cs="Arial" w:eastAsia="Arial" w:hAnsi="Arial"/>
          <w:sz w:val="22"/>
          <w:szCs w:val="22"/>
        </w:rPr>
        <w:t xml:space="preserve">Develop Polars scripts to ingest and clean heterogeneous Excel/CSV files.</w:t>
      </w:r>
    </w:p>
    <w:p>
      <w:pPr>
        <w:pStyle w:val="ListParagraph"/>
        <w:numPr>
          <w:ilvl w:val="0"/>
          <w:numId w:val="2"/>
        </w:numPr>
        <w:spacing w:after="80" w:line="300"/>
      </w:pPr>
      <w:r>
        <w:rPr>
          <w:rFonts w:ascii="Arial" w:cs="Arial" w:eastAsia="Arial" w:hAnsi="Arial"/>
          <w:sz w:val="22"/>
          <w:szCs w:val="22"/>
        </w:rPr>
        <w:t xml:space="preserve">Map disparate row/column headers to a unified financial schema.</w:t>
      </w:r>
    </w:p>
    <w:p>
      <w:pPr>
        <w:pStyle w:val="ListParagraph"/>
        <w:numPr>
          <w:ilvl w:val="0"/>
          <w:numId w:val="2"/>
        </w:numPr>
        <w:spacing w:after="80" w:line="300"/>
      </w:pPr>
      <w:r>
        <w:rPr>
          <w:rFonts w:ascii="Arial" w:cs="Arial" w:eastAsia="Arial" w:hAnsi="Arial"/>
          <w:sz w:val="22"/>
          <w:szCs w:val="22"/>
        </w:rPr>
        <w:t xml:space="preserve">Calculate core KPIs (Margins, Operating Costs) deterministically upon ingestion.</w:t>
      </w:r>
    </w:p>
    <w:p>
      <w:pPr>
        <w:pStyle w:val="ListParagraph"/>
        <w:numPr>
          <w:ilvl w:val="0"/>
          <w:numId w:val="2"/>
        </w:numPr>
        <w:spacing w:after="80" w:line="300"/>
      </w:pPr>
      <w:r>
        <w:rPr>
          <w:rFonts w:ascii="Arial" w:cs="Arial" w:eastAsia="Arial" w:hAnsi="Arial"/>
          <w:sz w:val="22"/>
          <w:szCs w:val="22"/>
        </w:rPr>
        <w:t xml:space="preserve">Land the cleaned data into optimized local DuckDB tables.</w:t>
      </w:r>
    </w:p>
    <w:p>
      <w:pPr>
        <w:pBdr>
          <w:top w:val="single" w:color="E8D285" w:sz="4" w:space="4"/>
          <w:left w:val="single" w:color="C9A227" w:sz="18" w:space="6"/>
          <w:bottom w:val="single" w:color="E8D285" w:sz="4" w:space="4"/>
          <w:right w:val="single" w:color="E8D285" w:sz="4" w:space="4"/>
        </w:pBdr>
        <w:shd w:fill="FFF4CE" w:val="clear"/>
        <w:spacing w:after="140" w:before="100" w:line="300"/>
      </w:pPr>
      <w:r>
        <w:rPr>
          <w:rFonts w:ascii="Arial" w:cs="Arial" w:eastAsia="Arial" w:hAnsi="Arial"/>
          <w:b/>
          <w:bCs/>
          <w:color w:val="8A6D11"/>
          <w:sz w:val="20"/>
          <w:szCs w:val="20"/>
        </w:rPr>
        <w:t xml:space="preserve">REVISION v1.1 — </w:t>
      </w:r>
      <w:r>
        <w:rPr>
          <w:rFonts w:ascii="Arial" w:cs="Arial" w:eastAsia="Arial" w:hAnsi="Arial"/>
          <w:color w:val="3D2F00"/>
          <w:sz w:val="20"/>
          <w:szCs w:val="20"/>
        </w:rPr>
        <w:t xml:space="preserve">Phase 1 as written collapses ~6 weeks of work into 4 bullets. Schema unification is not a script; it is a hybrid pipeline. Across the 5-file test corpus, "Revenue" appears as: Net Revenue, Turnover (net of GST), Total Revenue from Operations, Total Revenue, and Sale of products (Domestic) + (Export). Units appear as: INR (absolute), Rs. Lakhs, Rs. Crore, USD thousands, and mixed-within-a-single-sheet. Negatives appear as both -186 and (124.50). Time periods span Apr-23, FY 2023-24, 31-Mar-2024, Q1'22, FY2024A. The expanded Phase 1 below treats this as the central engineering challenge.</w:t>
      </w:r>
    </w:p>
    <w:p>
      <w:pPr>
        <w:pStyle w:val="Heading3"/>
        <w:spacing w:after="100" w:before="180"/>
      </w:pPr>
      <w:r>
        <w:rPr>
          <w:rFonts w:ascii="Arial" w:cs="Arial" w:eastAsia="Arial" w:hAnsi="Arial"/>
          <w:b/>
          <w:bCs/>
          <w:sz w:val="23"/>
          <w:szCs w:val="23"/>
        </w:rPr>
        <w:t xml:space="preserve">Phase 1 — Expanded Subtasks (REVISED)</w:t>
      </w:r>
    </w:p>
    <w:p>
      <w:pPr>
        <w:pStyle w:val="ListParagraph"/>
        <w:numPr>
          <w:ilvl w:val="0"/>
          <w:numId w:val="2"/>
        </w:numPr>
        <w:spacing w:after="80" w:line="300"/>
      </w:pPr>
      <w:r>
        <w:rPr>
          <w:rFonts w:ascii="Arial" w:cs="Arial" w:eastAsia="Arial" w:hAnsi="Arial"/>
          <w:b/>
          <w:bCs/>
          <w:color w:val="8A6D11"/>
          <w:sz w:val="22"/>
          <w:szCs w:val="22"/>
        </w:rPr>
        <w:t xml:space="preserve">1.1 Canonical Financial Schema</w:t>
      </w:r>
      <w:r>
        <w:rPr>
          <w:rFonts w:ascii="Arial" w:cs="Arial" w:eastAsia="Arial" w:hAnsi="Arial"/>
          <w:color w:val="3D2F00"/>
          <w:sz w:val="22"/>
          <w:szCs w:val="22"/>
        </w:rPr>
        <w:t xml:space="preserve">: Define the DuckDB tables (fact_metrics, dim_entity, dim_period, dim_metric, dim_source) using the 5-file corpus as the test case. Schema must support multi-currency, multi-unit, multi-period-grain (monthly/quarterly/annual) facts.</w:t>
      </w:r>
    </w:p>
    <w:p>
      <w:pPr>
        <w:pStyle w:val="ListParagraph"/>
        <w:numPr>
          <w:ilvl w:val="0"/>
          <w:numId w:val="2"/>
        </w:numPr>
        <w:spacing w:after="80" w:line="300"/>
      </w:pPr>
      <w:r>
        <w:rPr>
          <w:rFonts w:ascii="Arial" w:cs="Arial" w:eastAsia="Arial" w:hAnsi="Arial"/>
          <w:b/>
          <w:bCs/>
          <w:color w:val="8A6D11"/>
          <w:sz w:val="22"/>
          <w:szCs w:val="22"/>
        </w:rPr>
        <w:t xml:space="preserve">1.2 Polars Pre-Normalization</w:t>
      </w:r>
      <w:r>
        <w:rPr>
          <w:rFonts w:ascii="Arial" w:cs="Arial" w:eastAsia="Arial" w:hAnsi="Arial"/>
          <w:color w:val="3D2F00"/>
          <w:sz w:val="22"/>
          <w:szCs w:val="22"/>
        </w:rPr>
        <w:t xml:space="preserve">: Detect and strip title rows, blank separators, total/subtotal rows, and footnote blocks. Detect accounting-paren negatives and convert. Detect mixed-unit rows (e.g., Sharma Textiles "Other Exp Detail") and split.</w:t>
      </w:r>
    </w:p>
    <w:p>
      <w:pPr>
        <w:pStyle w:val="ListParagraph"/>
        <w:numPr>
          <w:ilvl w:val="0"/>
          <w:numId w:val="2"/>
        </w:numPr>
        <w:spacing w:after="80" w:line="300"/>
      </w:pPr>
      <w:r>
        <w:rPr>
          <w:rFonts w:ascii="Arial" w:cs="Arial" w:eastAsia="Arial" w:hAnsi="Arial"/>
          <w:b/>
          <w:bCs/>
          <w:color w:val="8A6D11"/>
          <w:sz w:val="22"/>
          <w:szCs w:val="22"/>
        </w:rPr>
        <w:t xml:space="preserve">1.3 Schema-Mapping LLM Call</w:t>
      </w:r>
      <w:r>
        <w:rPr>
          <w:rFonts w:ascii="Arial" w:cs="Arial" w:eastAsia="Arial" w:hAnsi="Arial"/>
          <w:color w:val="3D2F00"/>
          <w:sz w:val="22"/>
          <w:szCs w:val="22"/>
        </w:rPr>
        <w:t xml:space="preserve">: For each new file, send sheet structure (headers + first 5 rows + detected unit hints) to a local LLM call that proposes a mapping to the canonical schema. Output is a structured JSON proposal, not free text.</w:t>
      </w:r>
    </w:p>
    <w:p>
      <w:pPr>
        <w:pStyle w:val="ListParagraph"/>
        <w:numPr>
          <w:ilvl w:val="0"/>
          <w:numId w:val="2"/>
        </w:numPr>
        <w:spacing w:after="80" w:line="300"/>
      </w:pPr>
      <w:r>
        <w:rPr>
          <w:rFonts w:ascii="Arial" w:cs="Arial" w:eastAsia="Arial" w:hAnsi="Arial"/>
          <w:b/>
          <w:bCs/>
          <w:color w:val="8A6D11"/>
          <w:sz w:val="22"/>
          <w:szCs w:val="22"/>
        </w:rPr>
        <w:t xml:space="preserve">1.4 Deterministic Validators</w:t>
      </w:r>
      <w:r>
        <w:rPr>
          <w:rFonts w:ascii="Arial" w:cs="Arial" w:eastAsia="Arial" w:hAnsi="Arial"/>
          <w:color w:val="3D2F00"/>
          <w:sz w:val="22"/>
          <w:szCs w:val="22"/>
        </w:rPr>
        <w:t xml:space="preserve">: Validate the proposed mapping against hard rules: line items must sum to labeled totals within tolerance; declared units must match values' magnitude (e.g., a "Lakhs" column with values &gt;10,000,000 fails); cross-period growth rates must be sane (-90% to +1000%).</w:t>
      </w:r>
    </w:p>
    <w:p>
      <w:pPr>
        <w:pStyle w:val="ListParagraph"/>
        <w:numPr>
          <w:ilvl w:val="0"/>
          <w:numId w:val="2"/>
        </w:numPr>
        <w:spacing w:after="80" w:line="300"/>
      </w:pPr>
      <w:r>
        <w:rPr>
          <w:rFonts w:ascii="Arial" w:cs="Arial" w:eastAsia="Arial" w:hAnsi="Arial"/>
          <w:b/>
          <w:bCs/>
          <w:color w:val="C65911"/>
          <w:sz w:val="22"/>
          <w:szCs w:val="22"/>
        </w:rPr>
        <w:t xml:space="preserve">1.5 Onboarding Gate (REVISED in v1.2)</w:t>
      </w:r>
      <w:r>
        <w:rPr>
          <w:rFonts w:ascii="Arial" w:cs="Arial" w:eastAsia="Arial" w:hAnsi="Arial"/>
          <w:color w:val="5A2A0A"/>
          <w:sz w:val="22"/>
          <w:szCs w:val="22"/>
        </w:rPr>
        <w:t xml:space="preserve">: Validated proposals are written to a staging table, NOT directly to DuckDB. The Onboarding Conversation Engine (§7) generates the bot's first chat message describing what was found and what was assumed; user acknowledgment in chat promotes facts from staging to live.</w:t>
      </w:r>
    </w:p>
    <w:p>
      <w:pPr>
        <w:pStyle w:val="ListParagraph"/>
        <w:numPr>
          <w:ilvl w:val="0"/>
          <w:numId w:val="2"/>
        </w:numPr>
        <w:spacing w:after="80" w:line="300"/>
      </w:pPr>
      <w:r>
        <w:rPr>
          <w:rFonts w:ascii="Arial" w:cs="Arial" w:eastAsia="Arial" w:hAnsi="Arial"/>
          <w:b/>
          <w:bCs/>
          <w:color w:val="8A6D11"/>
          <w:sz w:val="22"/>
          <w:szCs w:val="22"/>
        </w:rPr>
        <w:t xml:space="preserve">1.6 Derived KPIs</w:t>
      </w:r>
      <w:r>
        <w:rPr>
          <w:rFonts w:ascii="Arial" w:cs="Arial" w:eastAsia="Arial" w:hAnsi="Arial"/>
          <w:color w:val="3D2F00"/>
          <w:sz w:val="22"/>
          <w:szCs w:val="22"/>
        </w:rPr>
        <w:t xml:space="preserve">: Pre-compute Gross Margin %, EBITDA, EBITDA Margin %, YoY Growth %, and CAGR upon ingest, but only when source rows are sufficient. If derivation is impossible (e.g., D&amp;A not separately disclosed), record NULL with a reason code rather than estimating.</w:t>
      </w:r>
    </w:p>
    <w:p>
      <w:pPr>
        <w:pStyle w:val="Heading2"/>
        <w:spacing w:after="120" w:before="220"/>
      </w:pPr>
      <w:r>
        <w:rPr>
          <w:rFonts w:ascii="Arial" w:cs="Arial" w:eastAsia="Arial" w:hAnsi="Arial"/>
          <w:b/>
          <w:bCs/>
          <w:sz w:val="26"/>
          <w:szCs w:val="26"/>
        </w:rPr>
        <w:t xml:space="preserve">Phase 2: Qualitative Context Pipeline (Vector DB)</w:t>
      </w:r>
    </w:p>
    <w:p>
      <w:pPr>
        <w:spacing w:after="120" w:line="300"/>
      </w:pPr>
      <w:r>
        <w:rPr>
          <w:rFonts w:ascii="Arial" w:cs="Arial" w:eastAsia="Arial" w:hAnsi="Arial"/>
          <w:b/>
          <w:bCs/>
          <w:sz w:val="22"/>
          <w:szCs w:val="22"/>
        </w:rPr>
        <w:t xml:space="preserve">Goal: </w:t>
      </w:r>
      <w:r>
        <w:rPr>
          <w:rFonts w:ascii="Arial" w:cs="Arial" w:eastAsia="Arial" w:hAnsi="Arial"/>
          <w:sz w:val="22"/>
          <w:szCs w:val="22"/>
        </w:rPr>
        <w:t xml:space="preserve">Extract and embed unstructured textual data for RAG.</w:t>
      </w:r>
    </w:p>
    <w:p>
      <w:pPr>
        <w:pStyle w:val="ListParagraph"/>
        <w:numPr>
          <w:ilvl w:val="0"/>
          <w:numId w:val="2"/>
        </w:numPr>
        <w:spacing w:after="80" w:line="300"/>
      </w:pPr>
      <w:r>
        <w:rPr>
          <w:rFonts w:ascii="Arial" w:cs="Arial" w:eastAsia="Arial" w:hAnsi="Arial"/>
          <w:sz w:val="22"/>
          <w:szCs w:val="22"/>
        </w:rPr>
        <w:t xml:space="preserve">Implement PyMuPDF layout-aware parsing for K-1s and investment memorandums.</w:t>
      </w:r>
    </w:p>
    <w:p>
      <w:pPr>
        <w:pStyle w:val="ListParagraph"/>
        <w:numPr>
          <w:ilvl w:val="0"/>
          <w:numId w:val="2"/>
        </w:numPr>
        <w:spacing w:after="80" w:line="300"/>
      </w:pPr>
      <w:r>
        <w:rPr>
          <w:rFonts w:ascii="Arial" w:cs="Arial" w:eastAsia="Arial" w:hAnsi="Arial"/>
          <w:sz w:val="22"/>
          <w:szCs w:val="22"/>
        </w:rPr>
        <w:t xml:space="preserve">Chunk text systematically, preserving paragraph and nested table context.</w:t>
      </w:r>
    </w:p>
    <w:p>
      <w:pPr>
        <w:pStyle w:val="ListParagraph"/>
        <w:numPr>
          <w:ilvl w:val="0"/>
          <w:numId w:val="2"/>
        </w:numPr>
        <w:spacing w:after="80" w:line="300"/>
      </w:pPr>
      <w:r>
        <w:rPr>
          <w:rFonts w:ascii="Arial" w:cs="Arial" w:eastAsia="Arial" w:hAnsi="Arial"/>
          <w:sz w:val="22"/>
          <w:szCs w:val="22"/>
        </w:rPr>
        <w:t xml:space="preserve">Generate embeddings via local HuggingFace models or provider APIs, storing them in ChromaDB.</w:t>
      </w:r>
    </w:p>
    <w:p>
      <w:pPr>
        <w:pBdr>
          <w:top w:val="single" w:color="E8D285" w:sz="4" w:space="4"/>
          <w:left w:val="single" w:color="C9A227" w:sz="18" w:space="6"/>
          <w:bottom w:val="single" w:color="E8D285" w:sz="4" w:space="4"/>
          <w:right w:val="single" w:color="E8D285" w:sz="4" w:space="4"/>
        </w:pBdr>
        <w:shd w:fill="FFF4CE" w:val="clear"/>
        <w:spacing w:after="140" w:before="100" w:line="300"/>
      </w:pPr>
      <w:r>
        <w:rPr>
          <w:rFonts w:ascii="Arial" w:cs="Arial" w:eastAsia="Arial" w:hAnsi="Arial"/>
          <w:b/>
          <w:bCs/>
          <w:color w:val="8A6D11"/>
          <w:sz w:val="20"/>
          <w:szCs w:val="20"/>
        </w:rPr>
        <w:t xml:space="preserve">REVISION v1.1 — </w:t>
      </w:r>
      <w:r>
        <w:rPr>
          <w:rFonts w:ascii="Arial" w:cs="Arial" w:eastAsia="Arial" w:hAnsi="Arial"/>
          <w:color w:val="3D2F00"/>
          <w:sz w:val="20"/>
          <w:szCs w:val="20"/>
        </w:rPr>
        <w:t xml:space="preserve">The qualitative/quantitative wall leaks in both directions. The ZenithOps CIM (a "qualitative" docx) contains a full P&amp;L table, an ARR build, a cohort retention table, and a Top 20 customer list — all numerical. Glow Naturals' CSV (a "quantitative" file) contains free-text notes ("monsoon dip," "diwali peak," "warehouse shifted to Bhiwandi from Aug") that are essential for variance analysis. Phase 2 must split incoming documents into qualitative chunks (→ ChromaDB) AND structured tables (→ Phase 1 ingestion path), and Phase 1 must capture row-level annotations as linked qualitative context.</w:t>
      </w:r>
    </w:p>
    <w:p>
      <w:pPr>
        <w:pStyle w:val="Heading3"/>
        <w:spacing w:after="100" w:before="180"/>
      </w:pPr>
      <w:r>
        <w:rPr>
          <w:rFonts w:ascii="Arial" w:cs="Arial" w:eastAsia="Arial" w:hAnsi="Arial"/>
          <w:b/>
          <w:bCs/>
          <w:sz w:val="23"/>
          <w:szCs w:val="23"/>
        </w:rPr>
        <w:t xml:space="preserve">Phase 2 — Added Subtasks (REVISED)</w:t>
      </w:r>
    </w:p>
    <w:p>
      <w:pPr>
        <w:pStyle w:val="ListParagraph"/>
        <w:numPr>
          <w:ilvl w:val="0"/>
          <w:numId w:val="2"/>
        </w:numPr>
        <w:spacing w:after="80" w:line="300"/>
      </w:pPr>
      <w:r>
        <w:rPr>
          <w:rFonts w:ascii="Arial" w:cs="Arial" w:eastAsia="Arial" w:hAnsi="Arial"/>
          <w:b/>
          <w:bCs/>
          <w:color w:val="8A6D11"/>
          <w:sz w:val="22"/>
          <w:szCs w:val="22"/>
        </w:rPr>
        <w:t xml:space="preserve">2.4 Document Bifurcation</w:t>
      </w:r>
      <w:r>
        <w:rPr>
          <w:rFonts w:ascii="Arial" w:cs="Arial" w:eastAsia="Arial" w:hAnsi="Arial"/>
          <w:color w:val="3D2F00"/>
          <w:sz w:val="22"/>
          <w:szCs w:val="22"/>
        </w:rPr>
        <w:t xml:space="preserve">: Before chunking, detect tables in DOCX/PDF inputs (CIMs, K-1s, lender reports). Route detected tables through the Phase 1 ingestion path with the parent document as their source. Route narrative text through ChromaDB.</w:t>
      </w:r>
    </w:p>
    <w:p>
      <w:pPr>
        <w:pStyle w:val="ListParagraph"/>
        <w:numPr>
          <w:ilvl w:val="0"/>
          <w:numId w:val="2"/>
        </w:numPr>
        <w:spacing w:after="80" w:line="300"/>
      </w:pPr>
      <w:r>
        <w:rPr>
          <w:rFonts w:ascii="Arial" w:cs="Arial" w:eastAsia="Arial" w:hAnsi="Arial"/>
          <w:b/>
          <w:bCs/>
          <w:color w:val="8A6D11"/>
          <w:sz w:val="22"/>
          <w:szCs w:val="22"/>
        </w:rPr>
        <w:t xml:space="preserve">2.5 Annotation Capture</w:t>
      </w:r>
      <w:r>
        <w:rPr>
          <w:rFonts w:ascii="Arial" w:cs="Arial" w:eastAsia="Arial" w:hAnsi="Arial"/>
          <w:color w:val="3D2F00"/>
          <w:sz w:val="22"/>
          <w:szCs w:val="22"/>
        </w:rPr>
        <w:t xml:space="preserve">: Free-text notes adjacent to tabular rows (e.g., the "notes" column in Glow Naturals, the "Remarks" column in Krishnan Engineering) are captured as linked qualitative context — embedded in ChromaDB with a hard reference back to the DuckDB row they annotate.</w:t>
      </w:r>
    </w:p>
    <w:p>
      <w:pPr>
        <w:pStyle w:val="ListParagraph"/>
        <w:numPr>
          <w:ilvl w:val="0"/>
          <w:numId w:val="2"/>
        </w:numPr>
        <w:spacing w:after="80" w:line="300"/>
      </w:pPr>
      <w:r>
        <w:rPr>
          <w:rFonts w:ascii="Arial" w:cs="Arial" w:eastAsia="Arial" w:hAnsi="Arial"/>
          <w:b/>
          <w:bCs/>
          <w:color w:val="8A6D11"/>
          <w:sz w:val="22"/>
          <w:szCs w:val="22"/>
        </w:rPr>
        <w:t xml:space="preserve">2.6 Embedded-Number Handling</w:t>
      </w:r>
      <w:r>
        <w:rPr>
          <w:rFonts w:ascii="Arial" w:cs="Arial" w:eastAsia="Arial" w:hAnsi="Arial"/>
          <w:color w:val="3D2F00"/>
          <w:sz w:val="22"/>
          <w:szCs w:val="22"/>
        </w:rPr>
        <w:t xml:space="preserve">: ChromaDB chunks containing numerical claims are tagged. At query time, if RAG returns a chunk with a numerical claim that contradicts a DuckDB-resident fact, the orchestrator must defer to DuckDB and surface the contradiction.</w:t>
      </w:r>
    </w:p>
    <w:p>
      <w:pPr>
        <w:pStyle w:val="Heading2"/>
        <w:spacing w:after="120" w:before="220"/>
      </w:pPr>
      <w:r>
        <w:rPr>
          <w:rFonts w:ascii="Arial" w:cs="Arial" w:eastAsia="Arial" w:hAnsi="Arial"/>
          <w:b/>
          <w:bCs/>
          <w:sz w:val="26"/>
          <w:szCs w:val="26"/>
        </w:rPr>
        <w:t xml:space="preserve">Phase 3: Deterministic Tool Engineering</w:t>
      </w:r>
    </w:p>
    <w:p>
      <w:pPr>
        <w:spacing w:after="120" w:line="300"/>
      </w:pPr>
      <w:r>
        <w:rPr>
          <w:rFonts w:ascii="Arial" w:cs="Arial" w:eastAsia="Arial" w:hAnsi="Arial"/>
          <w:b/>
          <w:bCs/>
          <w:sz w:val="22"/>
          <w:szCs w:val="22"/>
        </w:rPr>
        <w:t xml:space="preserve">Goal: </w:t>
      </w:r>
      <w:r>
        <w:rPr>
          <w:rFonts w:ascii="Arial" w:cs="Arial" w:eastAsia="Arial" w:hAnsi="Arial"/>
          <w:sz w:val="22"/>
          <w:szCs w:val="22"/>
        </w:rPr>
        <w:t xml:space="preserve">Build the Python functional safety net.</w:t>
      </w:r>
    </w:p>
    <w:p>
      <w:pPr>
        <w:pStyle w:val="ListParagraph"/>
        <w:numPr>
          <w:ilvl w:val="0"/>
          <w:numId w:val="2"/>
        </w:numPr>
        <w:spacing w:after="80" w:line="300"/>
      </w:pPr>
      <w:r>
        <w:rPr>
          <w:rFonts w:ascii="Arial" w:cs="Arial" w:eastAsia="Arial" w:hAnsi="Arial"/>
          <w:i/>
          <w:iCs/>
          <w:sz w:val="22"/>
          <w:szCs w:val="22"/>
        </w:rPr>
        <w:t xml:space="preserve">fetch_metric(metric, period)</w:t>
      </w:r>
      <w:r>
        <w:rPr>
          <w:rFonts w:ascii="Arial" w:cs="Arial" w:eastAsia="Arial" w:hAnsi="Arial"/>
          <w:sz w:val="22"/>
          <w:szCs w:val="22"/>
        </w:rPr>
        <w:t xml:space="preserve">: Executes precise SQL retrieval against DuckDB.</w:t>
      </w:r>
    </w:p>
    <w:p>
      <w:pPr>
        <w:pStyle w:val="ListParagraph"/>
        <w:numPr>
          <w:ilvl w:val="0"/>
          <w:numId w:val="2"/>
        </w:numPr>
        <w:spacing w:after="80" w:line="300"/>
      </w:pPr>
      <w:r>
        <w:rPr>
          <w:rFonts w:ascii="Arial" w:cs="Arial" w:eastAsia="Arial" w:hAnsi="Arial"/>
          <w:i/>
          <w:iCs/>
          <w:sz w:val="22"/>
          <w:szCs w:val="22"/>
        </w:rPr>
        <w:t xml:space="preserve">calculate_variance(metric, t1, t2)</w:t>
      </w:r>
      <w:r>
        <w:rPr>
          <w:rFonts w:ascii="Arial" w:cs="Arial" w:eastAsia="Arial" w:hAnsi="Arial"/>
          <w:sz w:val="22"/>
          <w:szCs w:val="22"/>
        </w:rPr>
        <w:t xml:space="preserve">: Computes historical differences mathematically.</w:t>
      </w:r>
    </w:p>
    <w:p>
      <w:pPr>
        <w:pStyle w:val="ListParagraph"/>
        <w:numPr>
          <w:ilvl w:val="0"/>
          <w:numId w:val="2"/>
        </w:numPr>
        <w:spacing w:after="80" w:line="300"/>
      </w:pPr>
      <w:r>
        <w:rPr>
          <w:rFonts w:ascii="Arial" w:cs="Arial" w:eastAsia="Arial" w:hAnsi="Arial"/>
          <w:i/>
          <w:iCs/>
          <w:sz w:val="22"/>
          <w:szCs w:val="22"/>
        </w:rPr>
        <w:t xml:space="preserve">search_context(query)</w:t>
      </w:r>
      <w:r>
        <w:rPr>
          <w:rFonts w:ascii="Arial" w:cs="Arial" w:eastAsia="Arial" w:hAnsi="Arial"/>
          <w:sz w:val="22"/>
          <w:szCs w:val="22"/>
        </w:rPr>
        <w:t xml:space="preserve">: Executes semantic search on ChromaDB for qualitative "why" questions.</w:t>
      </w:r>
    </w:p>
    <w:p>
      <w:pPr>
        <w:pStyle w:val="ListParagraph"/>
        <w:numPr>
          <w:ilvl w:val="0"/>
          <w:numId w:val="2"/>
        </w:numPr>
        <w:spacing w:after="80" w:line="300"/>
      </w:pPr>
      <w:r>
        <w:rPr>
          <w:rFonts w:ascii="Arial" w:cs="Arial" w:eastAsia="Arial" w:hAnsi="Arial"/>
          <w:b/>
          <w:bCs/>
          <w:sz w:val="22"/>
          <w:szCs w:val="22"/>
        </w:rPr>
        <w:t xml:space="preserve">Mandatory Testing</w:t>
      </w:r>
      <w:r>
        <w:rPr>
          <w:rFonts w:ascii="Arial" w:cs="Arial" w:eastAsia="Arial" w:hAnsi="Arial"/>
          <w:sz w:val="22"/>
          <w:szCs w:val="22"/>
        </w:rPr>
        <w:t xml:space="preserve">: Implement exhaustive pytest suites ensuring tools fail gracefully on missing data.</w:t>
      </w:r>
    </w:p>
    <w:p>
      <w:pPr>
        <w:pBdr>
          <w:top w:val="single" w:color="E8D285" w:sz="4" w:space="4"/>
          <w:left w:val="single" w:color="C9A227" w:sz="18" w:space="6"/>
          <w:bottom w:val="single" w:color="E8D285" w:sz="4" w:space="4"/>
          <w:right w:val="single" w:color="E8D285" w:sz="4" w:space="4"/>
        </w:pBdr>
        <w:shd w:fill="FFF4CE" w:val="clear"/>
        <w:spacing w:after="140" w:before="100" w:line="300"/>
      </w:pPr>
      <w:r>
        <w:rPr>
          <w:rFonts w:ascii="Arial" w:cs="Arial" w:eastAsia="Arial" w:hAnsi="Arial"/>
          <w:b/>
          <w:bCs/>
          <w:color w:val="8A6D11"/>
          <w:sz w:val="20"/>
          <w:szCs w:val="20"/>
        </w:rPr>
        <w:t xml:space="preserve">REVISION v1.1 — </w:t>
      </w:r>
      <w:r>
        <w:rPr>
          <w:rFonts w:ascii="Arial" w:cs="Arial" w:eastAsia="Arial" w:hAnsi="Arial"/>
          <w:color w:val="3D2F00"/>
          <w:sz w:val="20"/>
          <w:szCs w:val="20"/>
        </w:rPr>
        <w:t xml:space="preserve">Tool surface expanded to handle entity disambiguation, unit conversion, and reconciliation, all of which are needed by the corpus. fetch_metric now requires (entity_id, metric, period, unit_out) — no implicit defaults. Tools must return structured results that include the citation envelope defined in §7, not just a number.</w:t>
      </w:r>
    </w:p>
    <w:p>
      <w:pPr>
        <w:pStyle w:val="Heading3"/>
        <w:spacing w:after="100" w:before="180"/>
      </w:pPr>
      <w:r>
        <w:rPr>
          <w:rFonts w:ascii="Arial" w:cs="Arial" w:eastAsia="Arial" w:hAnsi="Arial"/>
          <w:b/>
          <w:bCs/>
          <w:sz w:val="23"/>
          <w:szCs w:val="23"/>
        </w:rPr>
        <w:t xml:space="preserve">Phase 3 — Expanded Tool Surface (REVISED)</w:t>
      </w:r>
    </w:p>
    <w:p>
      <w:pPr>
        <w:pStyle w:val="ListParagraph"/>
        <w:numPr>
          <w:ilvl w:val="0"/>
          <w:numId w:val="2"/>
        </w:numPr>
        <w:spacing w:after="80" w:line="300"/>
      </w:pPr>
      <w:r>
        <w:rPr>
          <w:rFonts w:ascii="Arial" w:cs="Arial" w:eastAsia="Arial" w:hAnsi="Arial"/>
          <w:i/>
          <w:iCs/>
          <w:color w:val="8A6D11"/>
          <w:sz w:val="22"/>
          <w:szCs w:val="22"/>
        </w:rPr>
        <w:t xml:space="preserve">fetch_metric(entity_id, metric, period, unit_out)</w:t>
      </w:r>
      <w:r>
        <w:rPr>
          <w:rFonts w:ascii="Arial" w:cs="Arial" w:eastAsia="Arial" w:hAnsi="Arial"/>
          <w:color w:val="3D2F00"/>
          <w:sz w:val="22"/>
          <w:szCs w:val="22"/>
        </w:rPr>
        <w:t xml:space="preserve"> — returns {value, unit, citation, as_of}. Raises MetricNotFound or AmbiguousEntity instead of guessing.</w:t>
      </w:r>
    </w:p>
    <w:p>
      <w:pPr>
        <w:pStyle w:val="ListParagraph"/>
        <w:numPr>
          <w:ilvl w:val="0"/>
          <w:numId w:val="2"/>
        </w:numPr>
        <w:spacing w:after="80" w:line="300"/>
      </w:pPr>
      <w:r>
        <w:rPr>
          <w:rFonts w:ascii="Arial" w:cs="Arial" w:eastAsia="Arial" w:hAnsi="Arial"/>
          <w:i/>
          <w:iCs/>
          <w:color w:val="8A6D11"/>
          <w:sz w:val="22"/>
          <w:szCs w:val="22"/>
        </w:rPr>
        <w:t xml:space="preserve">calculate_variance(entity_id, metric, t1, t2)</w:t>
      </w:r>
      <w:r>
        <w:rPr>
          <w:rFonts w:ascii="Arial" w:cs="Arial" w:eastAsia="Arial" w:hAnsi="Arial"/>
          <w:color w:val="3D2F00"/>
          <w:sz w:val="22"/>
          <w:szCs w:val="22"/>
        </w:rPr>
        <w:t xml:space="preserve"> — both periods must exist in DuckDB; partial-data variances return a sentinel, not an estimate.</w:t>
      </w:r>
    </w:p>
    <w:p>
      <w:pPr>
        <w:pStyle w:val="ListParagraph"/>
        <w:numPr>
          <w:ilvl w:val="0"/>
          <w:numId w:val="2"/>
        </w:numPr>
        <w:spacing w:after="80" w:line="300"/>
      </w:pPr>
      <w:r>
        <w:rPr>
          <w:rFonts w:ascii="Arial" w:cs="Arial" w:eastAsia="Arial" w:hAnsi="Arial"/>
          <w:i/>
          <w:iCs/>
          <w:color w:val="8A6D11"/>
          <w:sz w:val="22"/>
          <w:szCs w:val="22"/>
        </w:rPr>
        <w:t xml:space="preserve">calculate_ratio(entity_id, numerator, denominator, period)</w:t>
      </w:r>
      <w:r>
        <w:rPr>
          <w:rFonts w:ascii="Arial" w:cs="Arial" w:eastAsia="Arial" w:hAnsi="Arial"/>
          <w:color w:val="3D2F00"/>
          <w:sz w:val="22"/>
          <w:szCs w:val="22"/>
        </w:rPr>
        <w:t xml:space="preserve"> — explicitly covers margins and ratios so the LLM never assembles them from primitives.</w:t>
      </w:r>
    </w:p>
    <w:p>
      <w:pPr>
        <w:pStyle w:val="ListParagraph"/>
        <w:numPr>
          <w:ilvl w:val="0"/>
          <w:numId w:val="2"/>
        </w:numPr>
        <w:spacing w:after="80" w:line="300"/>
      </w:pPr>
      <w:r>
        <w:rPr>
          <w:rFonts w:ascii="Arial" w:cs="Arial" w:eastAsia="Arial" w:hAnsi="Arial"/>
          <w:i/>
          <w:iCs/>
          <w:color w:val="8A6D11"/>
          <w:sz w:val="22"/>
          <w:szCs w:val="22"/>
        </w:rPr>
        <w:t xml:space="preserve">search_context(entity_id, query, period_filter=None)</w:t>
      </w:r>
      <w:r>
        <w:rPr>
          <w:rFonts w:ascii="Arial" w:cs="Arial" w:eastAsia="Arial" w:hAnsi="Arial"/>
          <w:color w:val="3D2F00"/>
          <w:sz w:val="22"/>
          <w:szCs w:val="22"/>
        </w:rPr>
        <w:t xml:space="preserve"> — returns chunks with citations and a flag indicating whether they contain numerical claims.</w:t>
      </w:r>
    </w:p>
    <w:p>
      <w:pPr>
        <w:pStyle w:val="ListParagraph"/>
        <w:numPr>
          <w:ilvl w:val="0"/>
          <w:numId w:val="2"/>
        </w:numPr>
        <w:spacing w:after="80" w:line="300"/>
      </w:pPr>
      <w:r>
        <w:rPr>
          <w:rFonts w:ascii="Arial" w:cs="Arial" w:eastAsia="Arial" w:hAnsi="Arial"/>
          <w:i/>
          <w:iCs/>
          <w:color w:val="8A6D11"/>
          <w:sz w:val="22"/>
          <w:szCs w:val="22"/>
        </w:rPr>
        <w:t xml:space="preserve">list_sources(entity_id, metric, period)</w:t>
      </w:r>
      <w:r>
        <w:rPr>
          <w:rFonts w:ascii="Arial" w:cs="Arial" w:eastAsia="Arial" w:hAnsi="Arial"/>
          <w:color w:val="3D2F00"/>
          <w:sz w:val="22"/>
          <w:szCs w:val="22"/>
        </w:rPr>
        <w:t xml:space="preserve"> — lists every source document carrying this fact, so the LLM can surface reconciliation conflicts.</w:t>
      </w:r>
    </w:p>
    <w:p>
      <w:pPr>
        <w:pStyle w:val="ListParagraph"/>
        <w:numPr>
          <w:ilvl w:val="0"/>
          <w:numId w:val="2"/>
        </w:numPr>
        <w:spacing w:after="80" w:line="300"/>
      </w:pPr>
      <w:r>
        <w:rPr>
          <w:rFonts w:ascii="Arial" w:cs="Arial" w:eastAsia="Arial" w:hAnsi="Arial"/>
          <w:i/>
          <w:iCs/>
          <w:color w:val="8A6D11"/>
          <w:sz w:val="22"/>
          <w:szCs w:val="22"/>
        </w:rPr>
        <w:t xml:space="preserve">list_available_metrics(entity_id)</w:t>
      </w:r>
      <w:r>
        <w:rPr>
          <w:rFonts w:ascii="Arial" w:cs="Arial" w:eastAsia="Arial" w:hAnsi="Arial"/>
          <w:color w:val="3D2F00"/>
          <w:sz w:val="22"/>
          <w:szCs w:val="22"/>
        </w:rPr>
        <w:t xml:space="preserve"> — answers "what can I ask about this company" deterministically. Prevents the LLM from hallucinating that data exists.</w:t>
      </w:r>
    </w:p>
    <w:p>
      <w:pPr>
        <w:pStyle w:val="Heading2"/>
        <w:spacing w:after="120" w:before="220"/>
      </w:pPr>
      <w:r>
        <w:rPr>
          <w:rFonts w:ascii="Arial" w:cs="Arial" w:eastAsia="Arial" w:hAnsi="Arial"/>
          <w:b/>
          <w:bCs/>
          <w:sz w:val="26"/>
          <w:szCs w:val="26"/>
        </w:rPr>
        <w:t xml:space="preserve">Phase 4: Agentic Orchestration</w:t>
      </w:r>
    </w:p>
    <w:p>
      <w:pPr>
        <w:spacing w:after="120" w:line="300"/>
      </w:pPr>
      <w:r>
        <w:rPr>
          <w:rFonts w:ascii="Arial" w:cs="Arial" w:eastAsia="Arial" w:hAnsi="Arial"/>
          <w:b/>
          <w:bCs/>
          <w:sz w:val="22"/>
          <w:szCs w:val="22"/>
        </w:rPr>
        <w:t xml:space="preserve">Goal: </w:t>
      </w:r>
      <w:r>
        <w:rPr>
          <w:rFonts w:ascii="Arial" w:cs="Arial" w:eastAsia="Arial" w:hAnsi="Arial"/>
          <w:sz w:val="22"/>
          <w:szCs w:val="22"/>
        </w:rPr>
        <w:t xml:space="preserve">Connect the LLM router to the local toolkit.</w:t>
      </w:r>
    </w:p>
    <w:p>
      <w:pPr>
        <w:pStyle w:val="ListParagraph"/>
        <w:numPr>
          <w:ilvl w:val="0"/>
          <w:numId w:val="2"/>
        </w:numPr>
        <w:spacing w:after="80" w:line="300"/>
      </w:pPr>
      <w:r>
        <w:rPr>
          <w:rFonts w:ascii="Arial" w:cs="Arial" w:eastAsia="Arial" w:hAnsi="Arial"/>
          <w:sz w:val="22"/>
          <w:szCs w:val="22"/>
        </w:rPr>
        <w:t xml:space="preserve">Configure the orchestrator locally to manage conversational state and tool binding.</w:t>
      </w:r>
    </w:p>
    <w:p>
      <w:pPr>
        <w:pStyle w:val="ListParagraph"/>
        <w:numPr>
          <w:ilvl w:val="0"/>
          <w:numId w:val="2"/>
        </w:numPr>
        <w:spacing w:after="80" w:line="300"/>
      </w:pPr>
      <w:r>
        <w:rPr>
          <w:rFonts w:ascii="Arial" w:cs="Arial" w:eastAsia="Arial" w:hAnsi="Arial"/>
          <w:sz w:val="22"/>
          <w:szCs w:val="22"/>
        </w:rPr>
        <w:t xml:space="preserve">Establish the System Prompt: enforce the router-only persona and prohibit guessing.</w:t>
      </w:r>
    </w:p>
    <w:p>
      <w:pPr>
        <w:pStyle w:val="ListParagraph"/>
        <w:numPr>
          <w:ilvl w:val="0"/>
          <w:numId w:val="2"/>
        </w:numPr>
        <w:spacing w:after="80" w:line="300"/>
      </w:pPr>
      <w:r>
        <w:rPr>
          <w:rFonts w:ascii="Arial" w:cs="Arial" w:eastAsia="Arial" w:hAnsi="Arial"/>
          <w:sz w:val="22"/>
          <w:szCs w:val="22"/>
        </w:rPr>
        <w:t xml:space="preserve">Integrate the Enterprise Developer API, mapping the JSON schemas of Phase 3 tools.</w:t>
      </w:r>
    </w:p>
    <w:p>
      <w:pPr>
        <w:pBdr>
          <w:top w:val="single" w:color="E8D285" w:sz="4" w:space="4"/>
          <w:left w:val="single" w:color="C9A227" w:sz="18" w:space="6"/>
          <w:bottom w:val="single" w:color="E8D285" w:sz="4" w:space="4"/>
          <w:right w:val="single" w:color="E8D285" w:sz="4" w:space="4"/>
        </w:pBdr>
        <w:shd w:fill="FFF4CE" w:val="clear"/>
        <w:spacing w:after="140" w:before="100" w:line="300"/>
      </w:pPr>
      <w:r>
        <w:rPr>
          <w:rFonts w:ascii="Arial" w:cs="Arial" w:eastAsia="Arial" w:hAnsi="Arial"/>
          <w:b/>
          <w:bCs/>
          <w:color w:val="8A6D11"/>
          <w:sz w:val="20"/>
          <w:szCs w:val="20"/>
        </w:rPr>
        <w:t xml:space="preserve">REVISION v1.1 — </w:t>
      </w:r>
      <w:r>
        <w:rPr>
          <w:rFonts w:ascii="Arial" w:cs="Arial" w:eastAsia="Arial" w:hAnsi="Arial"/>
          <w:color w:val="3D2F00"/>
          <w:sz w:val="20"/>
          <w:szCs w:val="20"/>
        </w:rPr>
        <w:t xml:space="preserve">Two non-obvious additions. (a) Pre-flight entity resolution — before any tool call, if the user's question contains a company-name reference, resolve it to entity_id via a deterministic lookup and pass the ID, not the name, to tools. This avoids the failure mode where "Krishnan Engineering" matches multiple ingested sources and the LLM picks one. (b) Conflict-aware response template — when list_sources returns multiple sources with disagreeing values, the system prompt mandates a specific response shape that surfaces the disagreement rather than picking the first.</w:t>
      </w:r>
    </w:p>
    <w:p>
      <w:pPr>
        <w:pStyle w:val="Heading3"/>
        <w:spacing w:after="100" w:before="180"/>
      </w:pPr>
      <w:r>
        <w:rPr>
          <w:rFonts w:ascii="Arial" w:cs="Arial" w:eastAsia="Arial" w:hAnsi="Arial"/>
          <w:b/>
          <w:bCs/>
          <w:sz w:val="23"/>
          <w:szCs w:val="23"/>
        </w:rPr>
        <w:t xml:space="preserve">Phase 4 — Added Subtasks (REVISED)</w:t>
      </w:r>
    </w:p>
    <w:p>
      <w:pPr>
        <w:pStyle w:val="ListParagraph"/>
        <w:numPr>
          <w:ilvl w:val="0"/>
          <w:numId w:val="2"/>
        </w:numPr>
        <w:spacing w:after="80" w:line="300"/>
      </w:pPr>
      <w:r>
        <w:rPr>
          <w:rFonts w:ascii="Arial" w:cs="Arial" w:eastAsia="Arial" w:hAnsi="Arial"/>
          <w:b/>
          <w:bCs/>
          <w:color w:val="8A6D11"/>
          <w:sz w:val="22"/>
          <w:szCs w:val="22"/>
        </w:rPr>
        <w:t xml:space="preserve">4.4 Entity Resolution Pre-flight</w:t>
      </w:r>
      <w:r>
        <w:rPr>
          <w:rFonts w:ascii="Arial" w:cs="Arial" w:eastAsia="Arial" w:hAnsi="Arial"/>
          <w:color w:val="3D2F00"/>
          <w:sz w:val="22"/>
          <w:szCs w:val="22"/>
        </w:rPr>
        <w:t xml:space="preserve">: Names → entity_id resolution happens before tool calls; ambiguous names trigger a clarification, not a guess.</w:t>
      </w:r>
    </w:p>
    <w:p>
      <w:pPr>
        <w:pStyle w:val="ListParagraph"/>
        <w:numPr>
          <w:ilvl w:val="0"/>
          <w:numId w:val="2"/>
        </w:numPr>
        <w:spacing w:after="80" w:line="300"/>
      </w:pPr>
      <w:r>
        <w:rPr>
          <w:rFonts w:ascii="Arial" w:cs="Arial" w:eastAsia="Arial" w:hAnsi="Arial"/>
          <w:b/>
          <w:bCs/>
          <w:color w:val="8A6D11"/>
          <w:sz w:val="22"/>
          <w:szCs w:val="22"/>
        </w:rPr>
        <w:t xml:space="preserve">4.5 Conflict-Aware Templates</w:t>
      </w:r>
      <w:r>
        <w:rPr>
          <w:rFonts w:ascii="Arial" w:cs="Arial" w:eastAsia="Arial" w:hAnsi="Arial"/>
          <w:color w:val="3D2F00"/>
          <w:sz w:val="22"/>
          <w:szCs w:val="22"/>
        </w:rPr>
        <w:t xml:space="preserve">: When the same fact has multiple disagreeing sources, the response must explicitly enumerate them with citations.</w:t>
      </w:r>
    </w:p>
    <w:p>
      <w:pPr>
        <w:pStyle w:val="ListParagraph"/>
        <w:numPr>
          <w:ilvl w:val="0"/>
          <w:numId w:val="2"/>
        </w:numPr>
        <w:spacing w:after="80" w:line="300"/>
      </w:pPr>
      <w:r>
        <w:rPr>
          <w:rFonts w:ascii="Arial" w:cs="Arial" w:eastAsia="Arial" w:hAnsi="Arial"/>
          <w:b/>
          <w:bCs/>
          <w:color w:val="8A6D11"/>
          <w:sz w:val="22"/>
          <w:szCs w:val="22"/>
        </w:rPr>
        <w:t xml:space="preserve">4.6 Tool-Call Audit Log</w:t>
      </w:r>
      <w:r>
        <w:rPr>
          <w:rFonts w:ascii="Arial" w:cs="Arial" w:eastAsia="Arial" w:hAnsi="Arial"/>
          <w:color w:val="3D2F00"/>
          <w:sz w:val="22"/>
          <w:szCs w:val="22"/>
        </w:rPr>
        <w:t xml:space="preserve">: Every tool call (input, output, citation) is logged locally. Enables post-hoc verification of "100% mathematical accuracy" claim.</w:t>
      </w:r>
    </w:p>
    <w:p>
      <w:pPr>
        <w:pStyle w:val="Heading2"/>
        <w:spacing w:after="120" w:before="220"/>
      </w:pPr>
      <w:r>
        <w:rPr>
          <w:rFonts w:ascii="Arial" w:cs="Arial" w:eastAsia="Arial" w:hAnsi="Arial"/>
          <w:b/>
          <w:bCs/>
          <w:sz w:val="26"/>
          <w:szCs w:val="26"/>
        </w:rPr>
        <w:t xml:space="preserve">Phase 5: User Interface &amp; Integration</w:t>
      </w:r>
    </w:p>
    <w:p>
      <w:pPr>
        <w:spacing w:after="120" w:line="300"/>
      </w:pPr>
      <w:r>
        <w:rPr>
          <w:rFonts w:ascii="Arial" w:cs="Arial" w:eastAsia="Arial" w:hAnsi="Arial"/>
          <w:b/>
          <w:bCs/>
          <w:sz w:val="22"/>
          <w:szCs w:val="22"/>
        </w:rPr>
        <w:t xml:space="preserve">Goal: </w:t>
      </w:r>
      <w:r>
        <w:rPr>
          <w:rFonts w:ascii="Arial" w:cs="Arial" w:eastAsia="Arial" w:hAnsi="Arial"/>
          <w:sz w:val="22"/>
          <w:szCs w:val="22"/>
        </w:rPr>
        <w:t xml:space="preserve">Deliver a cohesive financial co-pilot experience.</w:t>
      </w:r>
    </w:p>
    <w:p>
      <w:pPr>
        <w:pStyle w:val="ListParagraph"/>
        <w:numPr>
          <w:ilvl w:val="0"/>
          <w:numId w:val="2"/>
        </w:numPr>
        <w:spacing w:after="80" w:line="300"/>
      </w:pPr>
      <w:r>
        <w:rPr>
          <w:rFonts w:ascii="Arial" w:cs="Arial" w:eastAsia="Arial" w:hAnsi="Arial"/>
          <w:sz w:val="22"/>
          <w:szCs w:val="22"/>
        </w:rPr>
        <w:t xml:space="preserve">Deploy the local Streamlit application.</w:t>
      </w:r>
    </w:p>
    <w:p>
      <w:pPr>
        <w:pStyle w:val="ListParagraph"/>
        <w:numPr>
          <w:ilvl w:val="0"/>
          <w:numId w:val="2"/>
        </w:numPr>
        <w:spacing w:after="80" w:line="300"/>
      </w:pPr>
      <w:r>
        <w:rPr>
          <w:rFonts w:ascii="Arial" w:cs="Arial" w:eastAsia="Arial" w:hAnsi="Arial"/>
          <w:sz w:val="22"/>
          <w:szCs w:val="22"/>
        </w:rPr>
        <w:t xml:space="preserve">Integrate background file upload processing triggers (Phases 1 &amp; 2).</w:t>
      </w:r>
    </w:p>
    <w:p>
      <w:pPr>
        <w:pStyle w:val="ListParagraph"/>
        <w:numPr>
          <w:ilvl w:val="0"/>
          <w:numId w:val="2"/>
        </w:numPr>
        <w:spacing w:after="80" w:line="300"/>
      </w:pPr>
      <w:r>
        <w:rPr>
          <w:rFonts w:ascii="Arial" w:cs="Arial" w:eastAsia="Arial" w:hAnsi="Arial"/>
          <w:sz w:val="22"/>
          <w:szCs w:val="22"/>
        </w:rPr>
        <w:t xml:space="preserve">Format LLM responses to render markdown tables, trend charts, and source document citations.</w:t>
      </w:r>
    </w:p>
    <w:p>
      <w:pPr>
        <w:pBdr>
          <w:top w:val="single" w:color="E8D285" w:sz="4" w:space="4"/>
          <w:left w:val="single" w:color="C9A227" w:sz="18" w:space="6"/>
          <w:bottom w:val="single" w:color="E8D285" w:sz="4" w:space="4"/>
          <w:right w:val="single" w:color="E8D285" w:sz="4" w:space="4"/>
        </w:pBdr>
        <w:shd w:fill="FFF4CE" w:val="clear"/>
        <w:spacing w:after="140" w:before="100" w:line="300"/>
      </w:pPr>
      <w:r>
        <w:rPr>
          <w:rFonts w:ascii="Arial" w:cs="Arial" w:eastAsia="Arial" w:hAnsi="Arial"/>
          <w:b/>
          <w:bCs/>
          <w:color w:val="8A6D11"/>
          <w:sz w:val="20"/>
          <w:szCs w:val="20"/>
        </w:rPr>
        <w:t xml:space="preserve">REVISION v1.1 — </w:t>
      </w:r>
      <w:r>
        <w:rPr>
          <w:rFonts w:ascii="Arial" w:cs="Arial" w:eastAsia="Arial" w:hAnsi="Arial"/>
          <w:color w:val="3D2F00"/>
          <w:sz w:val="20"/>
          <w:szCs w:val="20"/>
        </w:rPr>
        <w:t xml:space="preserve">Phase 5 needs an explicit Ingestion Review screen (see §7). Without it, every interpretation decision the system makes during ingest is invisible to the user, and "100% mathematical accuracy" becomes technically true while practically wrong. The chat UI also needs a "show your work" affordance: every numerical answer must be expandable to reveal the underlying tool call, the cited cell, and any unit conversions applied.</w:t>
      </w:r>
    </w:p>
    <w:p>
      <w:pPr>
        <w:pBdr>
          <w:top w:val="single" w:color="F4B084" w:sz="4" w:space="4"/>
          <w:left w:val="single" w:color="C65911" w:sz="18" w:space="6"/>
          <w:bottom w:val="single" w:color="F4B084" w:sz="4" w:space="4"/>
          <w:right w:val="single" w:color="F4B084" w:sz="4" w:space="4"/>
        </w:pBdr>
        <w:shd w:fill="FCE4D6" w:val="clear"/>
        <w:spacing w:after="140" w:before="100" w:line="300"/>
      </w:pPr>
      <w:r>
        <w:rPr>
          <w:rFonts w:ascii="Arial" w:cs="Arial" w:eastAsia="Arial" w:hAnsi="Arial"/>
          <w:b/>
          <w:bCs/>
          <w:color w:val="C65911"/>
          <w:sz w:val="20"/>
          <w:szCs w:val="20"/>
        </w:rPr>
        <w:t xml:space="preserve">REVISION v1.2 — </w:t>
      </w:r>
      <w:r>
        <w:rPr>
          <w:rFonts w:ascii="Arial" w:cs="Arial" w:eastAsia="Arial" w:hAnsi="Arial"/>
          <w:color w:val="5A2A0A"/>
          <w:sz w:val="20"/>
          <w:szCs w:val="20"/>
        </w:rPr>
        <w:t xml:space="preserve">Supersedes the v1.1 callout above. The separate Ingestion Review screen is removed; the disclosure and gating function moves into the Onboarding Conversation produced by the chatbot itself (see §7). Phase 5 now requires: (a) per-file ingestion state machine (UPLOADED → AWAITING_CONFLICT_RESOLUTION → AWAITING_ACKNOWLEDGMENT → LIVE), with the chat orchestrator refusing to answer questions about a file until it reaches LIVE; (b) rendering of the structured onboarding message with collapsible sections for high-disclosure files; (c) chat-native "show your work" expanders for every numerical answer; (d) a reset-source-choices command that returns a file to the conflict-resolution state.</w:t>
      </w:r>
    </w:p>
    <w:p>
      <w:pPr>
        <w:pStyle w:val="Heading1"/>
        <w:spacing w:after="160" w:before="280"/>
      </w:pPr>
      <w:r>
        <w:rPr>
          <w:rFonts w:ascii="Arial" w:cs="Arial" w:eastAsia="Arial" w:hAnsi="Arial"/>
          <w:b/>
          <w:bCs/>
          <w:sz w:val="32"/>
          <w:szCs w:val="32"/>
        </w:rPr>
        <w:t xml:space="preserve">5. Ingestion &amp; Reconciliation Architecture (NEW)</w:t>
      </w:r>
    </w:p>
    <w:p>
      <w:pPr>
        <w:pBdr>
          <w:top w:val="single" w:color="E8D285" w:sz="4" w:space="4"/>
          <w:left w:val="single" w:color="C9A227" w:sz="18" w:space="6"/>
          <w:bottom w:val="single" w:color="E8D285" w:sz="4" w:space="4"/>
          <w:right w:val="single" w:color="E8D285" w:sz="4" w:space="4"/>
        </w:pBdr>
        <w:shd w:fill="FFF4CE" w:val="clear"/>
        <w:spacing w:after="140" w:before="100" w:line="300"/>
      </w:pPr>
      <w:r>
        <w:rPr>
          <w:rFonts w:ascii="Arial" w:cs="Arial" w:eastAsia="Arial" w:hAnsi="Arial"/>
          <w:b/>
          <w:bCs/>
          <w:color w:val="8A6D11"/>
          <w:sz w:val="20"/>
          <w:szCs w:val="20"/>
        </w:rPr>
        <w:t xml:space="preserve">REVISION v1.1 — </w:t>
      </w:r>
      <w:r>
        <w:rPr>
          <w:rFonts w:ascii="Arial" w:cs="Arial" w:eastAsia="Arial" w:hAnsi="Arial"/>
          <w:color w:val="3D2F00"/>
          <w:sz w:val="20"/>
          <w:szCs w:val="20"/>
        </w:rPr>
        <w:t xml:space="preserve">This section is new in v1.1. It exists because Phase 1's "Map disparate row/column headers to a unified financial schema" is one bullet in v1.0 but is, in practice, the load-bearing engineering work for the entire system.</w:t>
      </w:r>
    </w:p>
    <w:p>
      <w:pPr>
        <w:pStyle w:val="Heading2"/>
        <w:spacing w:after="120" w:before="220"/>
      </w:pPr>
      <w:r>
        <w:rPr>
          <w:rFonts w:ascii="Arial" w:cs="Arial" w:eastAsia="Arial" w:hAnsi="Arial"/>
          <w:b/>
          <w:bCs/>
          <w:sz w:val="26"/>
          <w:szCs w:val="26"/>
        </w:rPr>
        <w:t xml:space="preserve">5.1 Pipeline Stages</w:t>
      </w:r>
    </w:p>
    <w:p>
      <w:pPr>
        <w:spacing w:after="120" w:line="300"/>
      </w:pPr>
      <w:r>
        <w:rPr>
          <w:rFonts w:ascii="Arial" w:cs="Arial" w:eastAsia="Arial" w:hAnsi="Arial"/>
          <w:sz w:val="22"/>
          <w:szCs w:val="22"/>
        </w:rPr>
        <w:t xml:space="preserve">Each uploaded file flows through eight stages before its facts become queryable. Stages 1–4 are deterministic; stage 5 is LLM-assisted with hard validation; stage 6 is human-in-the-loop; stages 7–8 are deterministic.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400"/>
        <w:gridCol w:w="1900"/>
        <w:gridCol w:w="3460"/>
      </w:tblGrid>
      <w:tr>
        <w:trPr>
          <w:tblHeader/>
        </w:trPr>
        <w:tc>
          <w:tcPr>
            <w:tcW w:type="dxa" w:w="600"/>
            <w:tcBorders>
              <w:top w:val="single" w:color="BFBFBF" w:sz="6"/>
              <w:left w:val="single" w:color="BFBFBF" w:sz="6"/>
              <w:bottom w:val="single" w:color="BFBFBF" w:sz="6"/>
              <w:right w:val="single" w:color="BFBFBF" w:sz="6"/>
            </w:tcBorders>
            <w:shd w:fill="1F3864" w:val="clear"/>
            <w:tcMar>
              <w:top w:type="dxa" w:w="100"/>
              <w:left w:type="dxa" w:w="140"/>
              <w:bottom w:type="dxa" w:w="100"/>
              <w:right w:type="dxa" w:w="140"/>
            </w:tcMar>
          </w:tcPr>
          <w:p>
            <w:pPr>
              <w:spacing w:after="0"/>
            </w:pPr>
            <w:r>
              <w:rPr>
                <w:rFonts w:ascii="Arial" w:cs="Arial" w:eastAsia="Arial" w:hAnsi="Arial"/>
                <w:b/>
                <w:bCs/>
                <w:color w:val="FFFFFF"/>
                <w:sz w:val="21"/>
                <w:szCs w:val="21"/>
              </w:rPr>
              <w:t xml:space="preserve">#</w:t>
            </w:r>
          </w:p>
        </w:tc>
        <w:tc>
          <w:tcPr>
            <w:tcW w:type="dxa" w:w="3400"/>
            <w:tcBorders>
              <w:top w:val="single" w:color="BFBFBF" w:sz="6"/>
              <w:left w:val="single" w:color="BFBFBF" w:sz="6"/>
              <w:bottom w:val="single" w:color="BFBFBF" w:sz="6"/>
              <w:right w:val="single" w:color="BFBFBF" w:sz="6"/>
            </w:tcBorders>
            <w:shd w:fill="1F3864" w:val="clear"/>
            <w:tcMar>
              <w:top w:type="dxa" w:w="100"/>
              <w:left w:type="dxa" w:w="140"/>
              <w:bottom w:type="dxa" w:w="100"/>
              <w:right w:type="dxa" w:w="140"/>
            </w:tcMar>
          </w:tcPr>
          <w:p>
            <w:pPr>
              <w:spacing w:after="0"/>
            </w:pPr>
            <w:r>
              <w:rPr>
                <w:rFonts w:ascii="Arial" w:cs="Arial" w:eastAsia="Arial" w:hAnsi="Arial"/>
                <w:b/>
                <w:bCs/>
                <w:color w:val="FFFFFF"/>
                <w:sz w:val="21"/>
                <w:szCs w:val="21"/>
              </w:rPr>
              <w:t xml:space="preserve">Stage</w:t>
            </w:r>
          </w:p>
        </w:tc>
        <w:tc>
          <w:tcPr>
            <w:tcW w:type="dxa" w:w="1900"/>
            <w:tcBorders>
              <w:top w:val="single" w:color="BFBFBF" w:sz="6"/>
              <w:left w:val="single" w:color="BFBFBF" w:sz="6"/>
              <w:bottom w:val="single" w:color="BFBFBF" w:sz="6"/>
              <w:right w:val="single" w:color="BFBFBF" w:sz="6"/>
            </w:tcBorders>
            <w:shd w:fill="1F3864" w:val="clear"/>
            <w:tcMar>
              <w:top w:type="dxa" w:w="100"/>
              <w:left w:type="dxa" w:w="140"/>
              <w:bottom w:type="dxa" w:w="100"/>
              <w:right w:type="dxa" w:w="140"/>
            </w:tcMar>
          </w:tcPr>
          <w:p>
            <w:pPr>
              <w:spacing w:after="0"/>
            </w:pPr>
            <w:r>
              <w:rPr>
                <w:rFonts w:ascii="Arial" w:cs="Arial" w:eastAsia="Arial" w:hAnsi="Arial"/>
                <w:b/>
                <w:bCs/>
                <w:color w:val="FFFFFF"/>
                <w:sz w:val="21"/>
                <w:szCs w:val="21"/>
              </w:rPr>
              <w:t xml:space="preserve">Determinism</w:t>
            </w:r>
          </w:p>
        </w:tc>
        <w:tc>
          <w:tcPr>
            <w:tcW w:type="dxa" w:w="3460"/>
            <w:tcBorders>
              <w:top w:val="single" w:color="BFBFBF" w:sz="6"/>
              <w:left w:val="single" w:color="BFBFBF" w:sz="6"/>
              <w:bottom w:val="single" w:color="BFBFBF" w:sz="6"/>
              <w:right w:val="single" w:color="BFBFBF" w:sz="6"/>
            </w:tcBorders>
            <w:shd w:fill="1F3864" w:val="clear"/>
            <w:tcMar>
              <w:top w:type="dxa" w:w="100"/>
              <w:left w:type="dxa" w:w="140"/>
              <w:bottom w:type="dxa" w:w="100"/>
              <w:right w:type="dxa" w:w="140"/>
            </w:tcMar>
          </w:tcPr>
          <w:p>
            <w:pPr>
              <w:spacing w:after="0"/>
            </w:pPr>
            <w:r>
              <w:rPr>
                <w:rFonts w:ascii="Arial" w:cs="Arial" w:eastAsia="Arial" w:hAnsi="Arial"/>
                <w:b/>
                <w:bCs/>
                <w:color w:val="FFFFFF"/>
                <w:sz w:val="21"/>
                <w:szCs w:val="21"/>
              </w:rPr>
              <w:t xml:space="preserve">Output</w:t>
            </w:r>
          </w:p>
        </w:tc>
      </w:tr>
      <w:tr>
        <w:tc>
          <w:tcPr>
            <w:tcW w:type="dxa" w:w="600"/>
            <w:tcBorders>
              <w:top w:val="single" w:color="BFBFBF" w:sz="6"/>
              <w:left w:val="single" w:color="BFBFBF" w:sz="6"/>
              <w:bottom w:val="single" w:color="BFBFBF" w:sz="6"/>
              <w:right w:val="single" w:color="BFBFBF" w:sz="6"/>
            </w:tcBorders>
            <w:tcMar>
              <w:top w:type="dxa" w:w="90"/>
              <w:left w:type="dxa" w:w="140"/>
              <w:bottom w:type="dxa" w:w="90"/>
              <w:right w:type="dxa" w:w="140"/>
            </w:tcMar>
          </w:tcPr>
          <w:p>
            <w:pPr>
              <w:spacing w:after="0"/>
            </w:pPr>
            <w:r>
              <w:rPr>
                <w:rFonts w:ascii="Arial" w:cs="Arial" w:eastAsia="Arial" w:hAnsi="Arial"/>
                <w:sz w:val="20"/>
                <w:szCs w:val="20"/>
              </w:rPr>
              <w:t xml:space="preserve">1</w:t>
            </w:r>
          </w:p>
        </w:tc>
        <w:tc>
          <w:tcPr>
            <w:tcW w:type="dxa" w:w="3400"/>
            <w:tcBorders>
              <w:top w:val="single" w:color="BFBFBF" w:sz="6"/>
              <w:left w:val="single" w:color="BFBFBF" w:sz="6"/>
              <w:bottom w:val="single" w:color="BFBFBF" w:sz="6"/>
              <w:right w:val="single" w:color="BFBFBF" w:sz="6"/>
            </w:tcBorders>
            <w:tcMar>
              <w:top w:type="dxa" w:w="90"/>
              <w:left w:type="dxa" w:w="140"/>
              <w:bottom w:type="dxa" w:w="90"/>
              <w:right w:type="dxa" w:w="140"/>
            </w:tcMar>
          </w:tcPr>
          <w:p>
            <w:pPr>
              <w:spacing w:after="0"/>
            </w:pPr>
            <w:r>
              <w:rPr>
                <w:rFonts w:ascii="Arial" w:cs="Arial" w:eastAsia="Arial" w:hAnsi="Arial"/>
                <w:sz w:val="20"/>
                <w:szCs w:val="20"/>
              </w:rPr>
              <w:t xml:space="preserve">File-type detection &amp; checksum</w:t>
            </w:r>
          </w:p>
        </w:tc>
        <w:tc>
          <w:tcPr>
            <w:tcW w:type="dxa" w:w="1900"/>
            <w:tcBorders>
              <w:top w:val="single" w:color="BFBFBF" w:sz="6"/>
              <w:left w:val="single" w:color="BFBFBF" w:sz="6"/>
              <w:bottom w:val="single" w:color="BFBFBF" w:sz="6"/>
              <w:right w:val="single" w:color="BFBFBF" w:sz="6"/>
            </w:tcBorders>
            <w:tcMar>
              <w:top w:type="dxa" w:w="90"/>
              <w:left w:type="dxa" w:w="140"/>
              <w:bottom w:type="dxa" w:w="90"/>
              <w:right w:type="dxa" w:w="140"/>
            </w:tcMar>
          </w:tcPr>
          <w:p>
            <w:pPr>
              <w:spacing w:after="0"/>
            </w:pPr>
            <w:r>
              <w:rPr>
                <w:rFonts w:ascii="Arial" w:cs="Arial" w:eastAsia="Arial" w:hAnsi="Arial"/>
                <w:sz w:val="20"/>
                <w:szCs w:val="20"/>
              </w:rPr>
              <w:t xml:space="preserve">Deterministic</w:t>
            </w:r>
          </w:p>
        </w:tc>
        <w:tc>
          <w:tcPr>
            <w:tcW w:type="dxa" w:w="3460"/>
            <w:tcBorders>
              <w:top w:val="single" w:color="BFBFBF" w:sz="6"/>
              <w:left w:val="single" w:color="BFBFBF" w:sz="6"/>
              <w:bottom w:val="single" w:color="BFBFBF" w:sz="6"/>
              <w:right w:val="single" w:color="BFBFBF" w:sz="6"/>
            </w:tcBorders>
            <w:tcMar>
              <w:top w:type="dxa" w:w="90"/>
              <w:left w:type="dxa" w:w="140"/>
              <w:bottom w:type="dxa" w:w="90"/>
              <w:right w:type="dxa" w:w="140"/>
            </w:tcMar>
          </w:tcPr>
          <w:p>
            <w:pPr>
              <w:spacing w:after="0"/>
            </w:pPr>
            <w:r>
              <w:rPr>
                <w:rFonts w:ascii="Arial" w:cs="Arial" w:eastAsia="Arial" w:hAnsi="Arial"/>
                <w:sz w:val="20"/>
                <w:szCs w:val="20"/>
              </w:rPr>
              <w:t xml:space="preserve">File registered with stable hash</w:t>
            </w:r>
          </w:p>
        </w:tc>
      </w:tr>
      <w:tr>
        <w:tc>
          <w:tcPr>
            <w:tcW w:type="dxa" w:w="600"/>
            <w:tcBorders>
              <w:top w:val="single" w:color="BFBFBF" w:sz="6"/>
              <w:left w:val="single" w:color="BFBFBF" w:sz="6"/>
              <w:bottom w:val="single" w:color="BFBFBF" w:sz="6"/>
              <w:right w:val="single" w:color="BFBFBF" w:sz="6"/>
            </w:tcBorders>
            <w:shd w:fill="F2F2F2" w:val="clear"/>
            <w:tcMar>
              <w:top w:type="dxa" w:w="90"/>
              <w:left w:type="dxa" w:w="140"/>
              <w:bottom w:type="dxa" w:w="90"/>
              <w:right w:type="dxa" w:w="140"/>
            </w:tcMar>
          </w:tcPr>
          <w:p>
            <w:pPr>
              <w:spacing w:after="0"/>
            </w:pPr>
            <w:r>
              <w:rPr>
                <w:rFonts w:ascii="Arial" w:cs="Arial" w:eastAsia="Arial" w:hAnsi="Arial"/>
                <w:sz w:val="20"/>
                <w:szCs w:val="20"/>
              </w:rPr>
              <w:t xml:space="preserve">2</w:t>
            </w:r>
          </w:p>
        </w:tc>
        <w:tc>
          <w:tcPr>
            <w:tcW w:type="dxa" w:w="3400"/>
            <w:tcBorders>
              <w:top w:val="single" w:color="BFBFBF" w:sz="6"/>
              <w:left w:val="single" w:color="BFBFBF" w:sz="6"/>
              <w:bottom w:val="single" w:color="BFBFBF" w:sz="6"/>
              <w:right w:val="single" w:color="BFBFBF" w:sz="6"/>
            </w:tcBorders>
            <w:shd w:fill="F2F2F2" w:val="clear"/>
            <w:tcMar>
              <w:top w:type="dxa" w:w="90"/>
              <w:left w:type="dxa" w:w="140"/>
              <w:bottom w:type="dxa" w:w="90"/>
              <w:right w:type="dxa" w:w="140"/>
            </w:tcMar>
          </w:tcPr>
          <w:p>
            <w:pPr>
              <w:spacing w:after="0"/>
            </w:pPr>
            <w:r>
              <w:rPr>
                <w:rFonts w:ascii="Arial" w:cs="Arial" w:eastAsia="Arial" w:hAnsi="Arial"/>
                <w:sz w:val="20"/>
                <w:szCs w:val="20"/>
              </w:rPr>
              <w:t xml:space="preserve">Sheet/section enumeration</w:t>
            </w:r>
          </w:p>
        </w:tc>
        <w:tc>
          <w:tcPr>
            <w:tcW w:type="dxa" w:w="1900"/>
            <w:tcBorders>
              <w:top w:val="single" w:color="BFBFBF" w:sz="6"/>
              <w:left w:val="single" w:color="BFBFBF" w:sz="6"/>
              <w:bottom w:val="single" w:color="BFBFBF" w:sz="6"/>
              <w:right w:val="single" w:color="BFBFBF" w:sz="6"/>
            </w:tcBorders>
            <w:shd w:fill="F2F2F2" w:val="clear"/>
            <w:tcMar>
              <w:top w:type="dxa" w:w="90"/>
              <w:left w:type="dxa" w:w="140"/>
              <w:bottom w:type="dxa" w:w="90"/>
              <w:right w:type="dxa" w:w="140"/>
            </w:tcMar>
          </w:tcPr>
          <w:p>
            <w:pPr>
              <w:spacing w:after="0"/>
            </w:pPr>
            <w:r>
              <w:rPr>
                <w:rFonts w:ascii="Arial" w:cs="Arial" w:eastAsia="Arial" w:hAnsi="Arial"/>
                <w:sz w:val="20"/>
                <w:szCs w:val="20"/>
              </w:rPr>
              <w:t xml:space="preserve">Deterministic</w:t>
            </w:r>
          </w:p>
        </w:tc>
        <w:tc>
          <w:tcPr>
            <w:tcW w:type="dxa" w:w="3460"/>
            <w:tcBorders>
              <w:top w:val="single" w:color="BFBFBF" w:sz="6"/>
              <w:left w:val="single" w:color="BFBFBF" w:sz="6"/>
              <w:bottom w:val="single" w:color="BFBFBF" w:sz="6"/>
              <w:right w:val="single" w:color="BFBFBF" w:sz="6"/>
            </w:tcBorders>
            <w:shd w:fill="F2F2F2" w:val="clear"/>
            <w:tcMar>
              <w:top w:type="dxa" w:w="90"/>
              <w:left w:type="dxa" w:w="140"/>
              <w:bottom w:type="dxa" w:w="90"/>
              <w:right w:type="dxa" w:w="140"/>
            </w:tcMar>
          </w:tcPr>
          <w:p>
            <w:pPr>
              <w:spacing w:after="0"/>
            </w:pPr>
            <w:r>
              <w:rPr>
                <w:rFonts w:ascii="Arial" w:cs="Arial" w:eastAsia="Arial" w:hAnsi="Arial"/>
                <w:sz w:val="20"/>
                <w:szCs w:val="20"/>
              </w:rPr>
              <w:t xml:space="preserve">List of logical regions in the file</w:t>
            </w:r>
          </w:p>
        </w:tc>
      </w:tr>
      <w:tr>
        <w:tc>
          <w:tcPr>
            <w:tcW w:type="dxa" w:w="600"/>
            <w:tcBorders>
              <w:top w:val="single" w:color="BFBFBF" w:sz="6"/>
              <w:left w:val="single" w:color="BFBFBF" w:sz="6"/>
              <w:bottom w:val="single" w:color="BFBFBF" w:sz="6"/>
              <w:right w:val="single" w:color="BFBFBF" w:sz="6"/>
            </w:tcBorders>
            <w:tcMar>
              <w:top w:type="dxa" w:w="90"/>
              <w:left w:type="dxa" w:w="140"/>
              <w:bottom w:type="dxa" w:w="90"/>
              <w:right w:type="dxa" w:w="140"/>
            </w:tcMar>
          </w:tcPr>
          <w:p>
            <w:pPr>
              <w:spacing w:after="0"/>
            </w:pPr>
            <w:r>
              <w:rPr>
                <w:rFonts w:ascii="Arial" w:cs="Arial" w:eastAsia="Arial" w:hAnsi="Arial"/>
                <w:sz w:val="20"/>
                <w:szCs w:val="20"/>
              </w:rPr>
              <w:t xml:space="preserve">3</w:t>
            </w:r>
          </w:p>
        </w:tc>
        <w:tc>
          <w:tcPr>
            <w:tcW w:type="dxa" w:w="3400"/>
            <w:tcBorders>
              <w:top w:val="single" w:color="BFBFBF" w:sz="6"/>
              <w:left w:val="single" w:color="BFBFBF" w:sz="6"/>
              <w:bottom w:val="single" w:color="BFBFBF" w:sz="6"/>
              <w:right w:val="single" w:color="BFBFBF" w:sz="6"/>
            </w:tcBorders>
            <w:tcMar>
              <w:top w:type="dxa" w:w="90"/>
              <w:left w:type="dxa" w:w="140"/>
              <w:bottom w:type="dxa" w:w="90"/>
              <w:right w:type="dxa" w:w="140"/>
            </w:tcMar>
          </w:tcPr>
          <w:p>
            <w:pPr>
              <w:spacing w:after="0"/>
            </w:pPr>
            <w:r>
              <w:rPr>
                <w:rFonts w:ascii="Arial" w:cs="Arial" w:eastAsia="Arial" w:hAnsi="Arial"/>
                <w:sz w:val="20"/>
                <w:szCs w:val="20"/>
              </w:rPr>
              <w:t xml:space="preserve">Pre-normalization (strip titles, blanks, totals; convert paren-negatives; detect mixed-unit rows)</w:t>
            </w:r>
          </w:p>
        </w:tc>
        <w:tc>
          <w:tcPr>
            <w:tcW w:type="dxa" w:w="1900"/>
            <w:tcBorders>
              <w:top w:val="single" w:color="BFBFBF" w:sz="6"/>
              <w:left w:val="single" w:color="BFBFBF" w:sz="6"/>
              <w:bottom w:val="single" w:color="BFBFBF" w:sz="6"/>
              <w:right w:val="single" w:color="BFBFBF" w:sz="6"/>
            </w:tcBorders>
            <w:tcMar>
              <w:top w:type="dxa" w:w="90"/>
              <w:left w:type="dxa" w:w="140"/>
              <w:bottom w:type="dxa" w:w="90"/>
              <w:right w:type="dxa" w:w="140"/>
            </w:tcMar>
          </w:tcPr>
          <w:p>
            <w:pPr>
              <w:spacing w:after="0"/>
            </w:pPr>
            <w:r>
              <w:rPr>
                <w:rFonts w:ascii="Arial" w:cs="Arial" w:eastAsia="Arial" w:hAnsi="Arial"/>
                <w:sz w:val="20"/>
                <w:szCs w:val="20"/>
              </w:rPr>
              <w:t xml:space="preserve">Deterministic</w:t>
            </w:r>
          </w:p>
        </w:tc>
        <w:tc>
          <w:tcPr>
            <w:tcW w:type="dxa" w:w="3460"/>
            <w:tcBorders>
              <w:top w:val="single" w:color="BFBFBF" w:sz="6"/>
              <w:left w:val="single" w:color="BFBFBF" w:sz="6"/>
              <w:bottom w:val="single" w:color="BFBFBF" w:sz="6"/>
              <w:right w:val="single" w:color="BFBFBF" w:sz="6"/>
            </w:tcBorders>
            <w:tcMar>
              <w:top w:type="dxa" w:w="90"/>
              <w:left w:type="dxa" w:w="140"/>
              <w:bottom w:type="dxa" w:w="90"/>
              <w:right w:type="dxa" w:w="140"/>
            </w:tcMar>
          </w:tcPr>
          <w:p>
            <w:pPr>
              <w:spacing w:after="0"/>
            </w:pPr>
            <w:r>
              <w:rPr>
                <w:rFonts w:ascii="Arial" w:cs="Arial" w:eastAsia="Arial" w:hAnsi="Arial"/>
                <w:sz w:val="20"/>
                <w:szCs w:val="20"/>
              </w:rPr>
              <w:t xml:space="preserve">Clean tabular regions</w:t>
            </w:r>
          </w:p>
        </w:tc>
      </w:tr>
      <w:tr>
        <w:tc>
          <w:tcPr>
            <w:tcW w:type="dxa" w:w="600"/>
            <w:tcBorders>
              <w:top w:val="single" w:color="BFBFBF" w:sz="6"/>
              <w:left w:val="single" w:color="BFBFBF" w:sz="6"/>
              <w:bottom w:val="single" w:color="BFBFBF" w:sz="6"/>
              <w:right w:val="single" w:color="BFBFBF" w:sz="6"/>
            </w:tcBorders>
            <w:shd w:fill="F2F2F2" w:val="clear"/>
            <w:tcMar>
              <w:top w:type="dxa" w:w="90"/>
              <w:left w:type="dxa" w:w="140"/>
              <w:bottom w:type="dxa" w:w="90"/>
              <w:right w:type="dxa" w:w="140"/>
            </w:tcMar>
          </w:tcPr>
          <w:p>
            <w:pPr>
              <w:spacing w:after="0"/>
            </w:pPr>
            <w:r>
              <w:rPr>
                <w:rFonts w:ascii="Arial" w:cs="Arial" w:eastAsia="Arial" w:hAnsi="Arial"/>
                <w:sz w:val="20"/>
                <w:szCs w:val="20"/>
              </w:rPr>
              <w:t xml:space="preserve">4</w:t>
            </w:r>
          </w:p>
        </w:tc>
        <w:tc>
          <w:tcPr>
            <w:tcW w:type="dxa" w:w="3400"/>
            <w:tcBorders>
              <w:top w:val="single" w:color="BFBFBF" w:sz="6"/>
              <w:left w:val="single" w:color="BFBFBF" w:sz="6"/>
              <w:bottom w:val="single" w:color="BFBFBF" w:sz="6"/>
              <w:right w:val="single" w:color="BFBFBF" w:sz="6"/>
            </w:tcBorders>
            <w:shd w:fill="F2F2F2" w:val="clear"/>
            <w:tcMar>
              <w:top w:type="dxa" w:w="90"/>
              <w:left w:type="dxa" w:w="140"/>
              <w:bottom w:type="dxa" w:w="90"/>
              <w:right w:type="dxa" w:w="140"/>
            </w:tcMar>
          </w:tcPr>
          <w:p>
            <w:pPr>
              <w:spacing w:after="0"/>
            </w:pPr>
            <w:r>
              <w:rPr>
                <w:rFonts w:ascii="Arial" w:cs="Arial" w:eastAsia="Arial" w:hAnsi="Arial"/>
                <w:sz w:val="20"/>
                <w:szCs w:val="20"/>
              </w:rPr>
              <w:t xml:space="preserve">Unit &amp; period detection</w:t>
            </w:r>
          </w:p>
        </w:tc>
        <w:tc>
          <w:tcPr>
            <w:tcW w:type="dxa" w:w="1900"/>
            <w:tcBorders>
              <w:top w:val="single" w:color="BFBFBF" w:sz="6"/>
              <w:left w:val="single" w:color="BFBFBF" w:sz="6"/>
              <w:bottom w:val="single" w:color="BFBFBF" w:sz="6"/>
              <w:right w:val="single" w:color="BFBFBF" w:sz="6"/>
            </w:tcBorders>
            <w:shd w:fill="F2F2F2" w:val="clear"/>
            <w:tcMar>
              <w:top w:type="dxa" w:w="90"/>
              <w:left w:type="dxa" w:w="140"/>
              <w:bottom w:type="dxa" w:w="90"/>
              <w:right w:type="dxa" w:w="140"/>
            </w:tcMar>
          </w:tcPr>
          <w:p>
            <w:pPr>
              <w:spacing w:after="0"/>
            </w:pPr>
            <w:r>
              <w:rPr>
                <w:rFonts w:ascii="Arial" w:cs="Arial" w:eastAsia="Arial" w:hAnsi="Arial"/>
                <w:sz w:val="20"/>
                <w:szCs w:val="20"/>
              </w:rPr>
              <w:t xml:space="preserve">Deterministic + heuristics</w:t>
            </w:r>
          </w:p>
        </w:tc>
        <w:tc>
          <w:tcPr>
            <w:tcW w:type="dxa" w:w="3460"/>
            <w:tcBorders>
              <w:top w:val="single" w:color="BFBFBF" w:sz="6"/>
              <w:left w:val="single" w:color="BFBFBF" w:sz="6"/>
              <w:bottom w:val="single" w:color="BFBFBF" w:sz="6"/>
              <w:right w:val="single" w:color="BFBFBF" w:sz="6"/>
            </w:tcBorders>
            <w:shd w:fill="F2F2F2" w:val="clear"/>
            <w:tcMar>
              <w:top w:type="dxa" w:w="90"/>
              <w:left w:type="dxa" w:w="140"/>
              <w:bottom w:type="dxa" w:w="90"/>
              <w:right w:type="dxa" w:w="140"/>
            </w:tcMar>
          </w:tcPr>
          <w:p>
            <w:pPr>
              <w:spacing w:after="0"/>
            </w:pPr>
            <w:r>
              <w:rPr>
                <w:rFonts w:ascii="Arial" w:cs="Arial" w:eastAsia="Arial" w:hAnsi="Arial"/>
                <w:sz w:val="20"/>
                <w:szCs w:val="20"/>
              </w:rPr>
              <w:t xml:space="preserve">Per-region unit and period grain</w:t>
            </w:r>
          </w:p>
        </w:tc>
      </w:tr>
      <w:tr>
        <w:tc>
          <w:tcPr>
            <w:tcW w:type="dxa" w:w="600"/>
            <w:tcBorders>
              <w:top w:val="single" w:color="BFBFBF" w:sz="6"/>
              <w:left w:val="single" w:color="BFBFBF" w:sz="6"/>
              <w:bottom w:val="single" w:color="BFBFBF" w:sz="6"/>
              <w:right w:val="single" w:color="BFBFBF" w:sz="6"/>
            </w:tcBorders>
            <w:tcMar>
              <w:top w:type="dxa" w:w="90"/>
              <w:left w:type="dxa" w:w="140"/>
              <w:bottom w:type="dxa" w:w="90"/>
              <w:right w:type="dxa" w:w="140"/>
            </w:tcMar>
          </w:tcPr>
          <w:p>
            <w:pPr>
              <w:spacing w:after="0"/>
            </w:pPr>
            <w:r>
              <w:rPr>
                <w:rFonts w:ascii="Arial" w:cs="Arial" w:eastAsia="Arial" w:hAnsi="Arial"/>
                <w:sz w:val="20"/>
                <w:szCs w:val="20"/>
              </w:rPr>
              <w:t xml:space="preserve">5</w:t>
            </w:r>
          </w:p>
        </w:tc>
        <w:tc>
          <w:tcPr>
            <w:tcW w:type="dxa" w:w="3400"/>
            <w:tcBorders>
              <w:top w:val="single" w:color="BFBFBF" w:sz="6"/>
              <w:left w:val="single" w:color="BFBFBF" w:sz="6"/>
              <w:bottom w:val="single" w:color="BFBFBF" w:sz="6"/>
              <w:right w:val="single" w:color="BFBFBF" w:sz="6"/>
            </w:tcBorders>
            <w:tcMar>
              <w:top w:type="dxa" w:w="90"/>
              <w:left w:type="dxa" w:w="140"/>
              <w:bottom w:type="dxa" w:w="90"/>
              <w:right w:type="dxa" w:w="140"/>
            </w:tcMar>
          </w:tcPr>
          <w:p>
            <w:pPr>
              <w:spacing w:after="0"/>
            </w:pPr>
            <w:r>
              <w:rPr>
                <w:rFonts w:ascii="Arial" w:cs="Arial" w:eastAsia="Arial" w:hAnsi="Arial"/>
                <w:sz w:val="20"/>
                <w:szCs w:val="20"/>
              </w:rPr>
              <w:t xml:space="preserve">Schema mapping proposal (LLM)</w:t>
            </w:r>
          </w:p>
        </w:tc>
        <w:tc>
          <w:tcPr>
            <w:tcW w:type="dxa" w:w="1900"/>
            <w:tcBorders>
              <w:top w:val="single" w:color="BFBFBF" w:sz="6"/>
              <w:left w:val="single" w:color="BFBFBF" w:sz="6"/>
              <w:bottom w:val="single" w:color="BFBFBF" w:sz="6"/>
              <w:right w:val="single" w:color="BFBFBF" w:sz="6"/>
            </w:tcBorders>
            <w:tcMar>
              <w:top w:type="dxa" w:w="90"/>
              <w:left w:type="dxa" w:w="140"/>
              <w:bottom w:type="dxa" w:w="90"/>
              <w:right w:type="dxa" w:w="140"/>
            </w:tcMar>
          </w:tcPr>
          <w:p>
            <w:pPr>
              <w:spacing w:after="0"/>
            </w:pPr>
            <w:r>
              <w:rPr>
                <w:rFonts w:ascii="Arial" w:cs="Arial" w:eastAsia="Arial" w:hAnsi="Arial"/>
                <w:sz w:val="20"/>
                <w:szCs w:val="20"/>
              </w:rPr>
              <w:t xml:space="preserve">LLM-assisted, validated</w:t>
            </w:r>
          </w:p>
        </w:tc>
        <w:tc>
          <w:tcPr>
            <w:tcW w:type="dxa" w:w="3460"/>
            <w:tcBorders>
              <w:top w:val="single" w:color="BFBFBF" w:sz="6"/>
              <w:left w:val="single" w:color="BFBFBF" w:sz="6"/>
              <w:bottom w:val="single" w:color="BFBFBF" w:sz="6"/>
              <w:right w:val="single" w:color="BFBFBF" w:sz="6"/>
            </w:tcBorders>
            <w:tcMar>
              <w:top w:type="dxa" w:w="90"/>
              <w:left w:type="dxa" w:w="140"/>
              <w:bottom w:type="dxa" w:w="90"/>
              <w:right w:type="dxa" w:w="140"/>
            </w:tcMar>
          </w:tcPr>
          <w:p>
            <w:pPr>
              <w:spacing w:after="0"/>
            </w:pPr>
            <w:r>
              <w:rPr>
                <w:rFonts w:ascii="Arial" w:cs="Arial" w:eastAsia="Arial" w:hAnsi="Arial"/>
                <w:sz w:val="20"/>
                <w:szCs w:val="20"/>
              </w:rPr>
              <w:t xml:space="preserve">Mapping JSON: source col → canonical field</w:t>
            </w:r>
          </w:p>
        </w:tc>
      </w:tr>
      <w:tr>
        <w:tc>
          <w:tcPr>
            <w:tcW w:type="dxa" w:w="600"/>
            <w:tcBorders>
              <w:top w:val="single" w:color="BFBFBF" w:sz="6"/>
              <w:left w:val="single" w:color="BFBFBF" w:sz="6"/>
              <w:bottom w:val="single" w:color="BFBFBF" w:sz="6"/>
              <w:right w:val="single" w:color="BFBFBF" w:sz="6"/>
            </w:tcBorders>
            <w:shd w:fill="F2F2F2" w:val="clear"/>
            <w:tcMar>
              <w:top w:type="dxa" w:w="90"/>
              <w:left w:type="dxa" w:w="140"/>
              <w:bottom w:type="dxa" w:w="90"/>
              <w:right w:type="dxa" w:w="140"/>
            </w:tcMar>
          </w:tcPr>
          <w:p>
            <w:pPr>
              <w:spacing w:after="0"/>
            </w:pPr>
            <w:r>
              <w:rPr>
                <w:rFonts w:ascii="Arial" w:cs="Arial" w:eastAsia="Arial" w:hAnsi="Arial"/>
                <w:sz w:val="20"/>
                <w:szCs w:val="20"/>
              </w:rPr>
              <w:t xml:space="preserve">6</w:t>
            </w:r>
          </w:p>
        </w:tc>
        <w:tc>
          <w:tcPr>
            <w:tcW w:type="dxa" w:w="3400"/>
            <w:tcBorders>
              <w:top w:val="single" w:color="BFBFBF" w:sz="6"/>
              <w:left w:val="single" w:color="BFBFBF" w:sz="6"/>
              <w:bottom w:val="single" w:color="BFBFBF" w:sz="6"/>
              <w:right w:val="single" w:color="BFBFBF" w:sz="6"/>
            </w:tcBorders>
            <w:shd w:fill="F2F2F2" w:val="clear"/>
            <w:tcMar>
              <w:top w:type="dxa" w:w="90"/>
              <w:left w:type="dxa" w:w="140"/>
              <w:bottom w:type="dxa" w:w="90"/>
              <w:right w:type="dxa" w:w="140"/>
            </w:tcMar>
          </w:tcPr>
          <w:p>
            <w:pPr>
              <w:spacing w:after="0"/>
            </w:pPr>
            <w:r>
              <w:rPr>
                <w:rFonts w:ascii="Arial" w:cs="Arial" w:eastAsia="Arial" w:hAnsi="Arial"/>
                <w:sz w:val="20"/>
                <w:szCs w:val="20"/>
              </w:rPr>
              <w:t xml:space="preserve">Validation gate</w:t>
            </w:r>
          </w:p>
        </w:tc>
        <w:tc>
          <w:tcPr>
            <w:tcW w:type="dxa" w:w="1900"/>
            <w:tcBorders>
              <w:top w:val="single" w:color="BFBFBF" w:sz="6"/>
              <w:left w:val="single" w:color="BFBFBF" w:sz="6"/>
              <w:bottom w:val="single" w:color="BFBFBF" w:sz="6"/>
              <w:right w:val="single" w:color="BFBFBF" w:sz="6"/>
            </w:tcBorders>
            <w:shd w:fill="F2F2F2" w:val="clear"/>
            <w:tcMar>
              <w:top w:type="dxa" w:w="90"/>
              <w:left w:type="dxa" w:w="140"/>
              <w:bottom w:type="dxa" w:w="90"/>
              <w:right w:type="dxa" w:w="140"/>
            </w:tcMar>
          </w:tcPr>
          <w:p>
            <w:pPr>
              <w:spacing w:after="0"/>
            </w:pPr>
            <w:r>
              <w:rPr>
                <w:rFonts w:ascii="Arial" w:cs="Arial" w:eastAsia="Arial" w:hAnsi="Arial"/>
                <w:sz w:val="20"/>
                <w:szCs w:val="20"/>
              </w:rPr>
              <w:t xml:space="preserve">Deterministic</w:t>
            </w:r>
          </w:p>
        </w:tc>
        <w:tc>
          <w:tcPr>
            <w:tcW w:type="dxa" w:w="3460"/>
            <w:tcBorders>
              <w:top w:val="single" w:color="BFBFBF" w:sz="6"/>
              <w:left w:val="single" w:color="BFBFBF" w:sz="6"/>
              <w:bottom w:val="single" w:color="BFBFBF" w:sz="6"/>
              <w:right w:val="single" w:color="BFBFBF" w:sz="6"/>
            </w:tcBorders>
            <w:shd w:fill="F2F2F2" w:val="clear"/>
            <w:tcMar>
              <w:top w:type="dxa" w:w="90"/>
              <w:left w:type="dxa" w:w="140"/>
              <w:bottom w:type="dxa" w:w="90"/>
              <w:right w:type="dxa" w:w="140"/>
            </w:tcMar>
          </w:tcPr>
          <w:p>
            <w:pPr>
              <w:spacing w:after="0"/>
            </w:pPr>
            <w:r>
              <w:rPr>
                <w:rFonts w:ascii="Arial" w:cs="Arial" w:eastAsia="Arial" w:hAnsi="Arial"/>
                <w:sz w:val="20"/>
                <w:szCs w:val="20"/>
              </w:rPr>
              <w:t xml:space="preserve">Pass / Fail with reasons; conflicts identified</w:t>
            </w:r>
          </w:p>
        </w:tc>
      </w:tr>
      <w:tr>
        <w:tc>
          <w:tcPr>
            <w:tcW w:type="dxa" w:w="600"/>
            <w:tcBorders>
              <w:top w:val="single" w:color="BFBFBF" w:sz="6"/>
              <w:left w:val="single" w:color="BFBFBF" w:sz="6"/>
              <w:bottom w:val="single" w:color="BFBFBF" w:sz="6"/>
              <w:right w:val="single" w:color="BFBFBF" w:sz="6"/>
            </w:tcBorders>
            <w:tcMar>
              <w:top w:type="dxa" w:w="90"/>
              <w:left w:type="dxa" w:w="140"/>
              <w:bottom w:type="dxa" w:w="90"/>
              <w:right w:type="dxa" w:w="140"/>
            </w:tcMar>
          </w:tcPr>
          <w:p>
            <w:pPr>
              <w:spacing w:after="0"/>
            </w:pPr>
            <w:r>
              <w:rPr>
                <w:rFonts w:ascii="Arial" w:cs="Arial" w:eastAsia="Arial" w:hAnsi="Arial"/>
                <w:sz w:val="20"/>
                <w:szCs w:val="20"/>
              </w:rPr>
              <w:t xml:space="preserve">7</w:t>
            </w:r>
          </w:p>
        </w:tc>
        <w:tc>
          <w:tcPr>
            <w:tcW w:type="dxa" w:w="3400"/>
            <w:tcBorders>
              <w:top w:val="single" w:color="BFBFBF" w:sz="6"/>
              <w:left w:val="single" w:color="BFBFBF" w:sz="6"/>
              <w:bottom w:val="single" w:color="BFBFBF" w:sz="6"/>
              <w:right w:val="single" w:color="BFBFBF" w:sz="6"/>
            </w:tcBorders>
            <w:tcMar>
              <w:top w:type="dxa" w:w="90"/>
              <w:left w:type="dxa" w:w="140"/>
              <w:bottom w:type="dxa" w:w="90"/>
              <w:right w:type="dxa" w:w="140"/>
            </w:tcMar>
          </w:tcPr>
          <w:p>
            <w:pPr>
              <w:spacing w:after="0"/>
            </w:pPr>
            <w:r>
              <w:rPr>
                <w:rFonts w:ascii="Arial" w:cs="Arial" w:eastAsia="Arial" w:hAnsi="Arial"/>
                <w:sz w:val="20"/>
                <w:szCs w:val="20"/>
              </w:rPr>
              <w:t xml:space="preserve">Onboarding message generation (REVISED v1.2)</w:t>
            </w:r>
          </w:p>
        </w:tc>
        <w:tc>
          <w:tcPr>
            <w:tcW w:type="dxa" w:w="1900"/>
            <w:tcBorders>
              <w:top w:val="single" w:color="BFBFBF" w:sz="6"/>
              <w:left w:val="single" w:color="BFBFBF" w:sz="6"/>
              <w:bottom w:val="single" w:color="BFBFBF" w:sz="6"/>
              <w:right w:val="single" w:color="BFBFBF" w:sz="6"/>
            </w:tcBorders>
            <w:tcMar>
              <w:top w:type="dxa" w:w="90"/>
              <w:left w:type="dxa" w:w="140"/>
              <w:bottom w:type="dxa" w:w="90"/>
              <w:right w:type="dxa" w:w="140"/>
            </w:tcMar>
          </w:tcPr>
          <w:p>
            <w:pPr>
              <w:spacing w:after="0"/>
            </w:pPr>
            <w:r>
              <w:rPr>
                <w:rFonts w:ascii="Arial" w:cs="Arial" w:eastAsia="Arial" w:hAnsi="Arial"/>
                <w:sz w:val="20"/>
                <w:szCs w:val="20"/>
              </w:rPr>
              <w:t xml:space="preserve">LLM-assisted, structured</w:t>
            </w:r>
          </w:p>
        </w:tc>
        <w:tc>
          <w:tcPr>
            <w:tcW w:type="dxa" w:w="3460"/>
            <w:tcBorders>
              <w:top w:val="single" w:color="BFBFBF" w:sz="6"/>
              <w:left w:val="single" w:color="BFBFBF" w:sz="6"/>
              <w:bottom w:val="single" w:color="BFBFBF" w:sz="6"/>
              <w:right w:val="single" w:color="BFBFBF" w:sz="6"/>
            </w:tcBorders>
            <w:tcMar>
              <w:top w:type="dxa" w:w="90"/>
              <w:left w:type="dxa" w:w="140"/>
              <w:bottom w:type="dxa" w:w="90"/>
              <w:right w:type="dxa" w:w="140"/>
            </w:tcMar>
          </w:tcPr>
          <w:p>
            <w:pPr>
              <w:spacing w:after="0"/>
            </w:pPr>
            <w:r>
              <w:rPr>
                <w:rFonts w:ascii="Arial" w:cs="Arial" w:eastAsia="Arial" w:hAnsi="Arial"/>
                <w:sz w:val="20"/>
                <w:szCs w:val="20"/>
              </w:rPr>
              <w:t xml:space="preserve">Bot's first chat message: every interpretation decision listed; blocking questions for cross-source conflicts</w:t>
            </w:r>
          </w:p>
        </w:tc>
      </w:tr>
      <w:tr>
        <w:tc>
          <w:tcPr>
            <w:tcW w:type="dxa" w:w="600"/>
            <w:tcBorders>
              <w:top w:val="single" w:color="BFBFBF" w:sz="6"/>
              <w:left w:val="single" w:color="BFBFBF" w:sz="6"/>
              <w:bottom w:val="single" w:color="BFBFBF" w:sz="6"/>
              <w:right w:val="single" w:color="BFBFBF" w:sz="6"/>
            </w:tcBorders>
            <w:shd w:fill="F2F2F2" w:val="clear"/>
            <w:tcMar>
              <w:top w:type="dxa" w:w="90"/>
              <w:left w:type="dxa" w:w="140"/>
              <w:bottom w:type="dxa" w:w="90"/>
              <w:right w:type="dxa" w:w="140"/>
            </w:tcMar>
          </w:tcPr>
          <w:p>
            <w:pPr>
              <w:spacing w:after="0"/>
            </w:pPr>
            <w:r>
              <w:rPr>
                <w:rFonts w:ascii="Arial" w:cs="Arial" w:eastAsia="Arial" w:hAnsi="Arial"/>
                <w:sz w:val="20"/>
                <w:szCs w:val="20"/>
              </w:rPr>
              <w:t xml:space="preserve">8</w:t>
            </w:r>
          </w:p>
        </w:tc>
        <w:tc>
          <w:tcPr>
            <w:tcW w:type="dxa" w:w="3400"/>
            <w:tcBorders>
              <w:top w:val="single" w:color="BFBFBF" w:sz="6"/>
              <w:left w:val="single" w:color="BFBFBF" w:sz="6"/>
              <w:bottom w:val="single" w:color="BFBFBF" w:sz="6"/>
              <w:right w:val="single" w:color="BFBFBF" w:sz="6"/>
            </w:tcBorders>
            <w:shd w:fill="F2F2F2" w:val="clear"/>
            <w:tcMar>
              <w:top w:type="dxa" w:w="90"/>
              <w:left w:type="dxa" w:w="140"/>
              <w:bottom w:type="dxa" w:w="90"/>
              <w:right w:type="dxa" w:w="140"/>
            </w:tcMar>
          </w:tcPr>
          <w:p>
            <w:pPr>
              <w:spacing w:after="0"/>
            </w:pPr>
            <w:r>
              <w:rPr>
                <w:rFonts w:ascii="Arial" w:cs="Arial" w:eastAsia="Arial" w:hAnsi="Arial"/>
                <w:sz w:val="20"/>
                <w:szCs w:val="20"/>
              </w:rPr>
              <w:t xml:space="preserve">Land in DuckDB + emit lineage (gated by user acknowledgment in chat)</w:t>
            </w:r>
          </w:p>
        </w:tc>
        <w:tc>
          <w:tcPr>
            <w:tcW w:type="dxa" w:w="1900"/>
            <w:tcBorders>
              <w:top w:val="single" w:color="BFBFBF" w:sz="6"/>
              <w:left w:val="single" w:color="BFBFBF" w:sz="6"/>
              <w:bottom w:val="single" w:color="BFBFBF" w:sz="6"/>
              <w:right w:val="single" w:color="BFBFBF" w:sz="6"/>
            </w:tcBorders>
            <w:shd w:fill="F2F2F2" w:val="clear"/>
            <w:tcMar>
              <w:top w:type="dxa" w:w="90"/>
              <w:left w:type="dxa" w:w="140"/>
              <w:bottom w:type="dxa" w:w="90"/>
              <w:right w:type="dxa" w:w="140"/>
            </w:tcMar>
          </w:tcPr>
          <w:p>
            <w:pPr>
              <w:spacing w:after="0"/>
            </w:pPr>
            <w:r>
              <w:rPr>
                <w:rFonts w:ascii="Arial" w:cs="Arial" w:eastAsia="Arial" w:hAnsi="Arial"/>
                <w:sz w:val="20"/>
                <w:szCs w:val="20"/>
              </w:rPr>
              <w:t xml:space="preserve">Deterministic</w:t>
            </w:r>
          </w:p>
        </w:tc>
        <w:tc>
          <w:tcPr>
            <w:tcW w:type="dxa" w:w="3460"/>
            <w:tcBorders>
              <w:top w:val="single" w:color="BFBFBF" w:sz="6"/>
              <w:left w:val="single" w:color="BFBFBF" w:sz="6"/>
              <w:bottom w:val="single" w:color="BFBFBF" w:sz="6"/>
              <w:right w:val="single" w:color="BFBFBF" w:sz="6"/>
            </w:tcBorders>
            <w:shd w:fill="F2F2F2" w:val="clear"/>
            <w:tcMar>
              <w:top w:type="dxa" w:w="90"/>
              <w:left w:type="dxa" w:w="140"/>
              <w:bottom w:type="dxa" w:w="90"/>
              <w:right w:type="dxa" w:w="140"/>
            </w:tcMar>
          </w:tcPr>
          <w:p>
            <w:pPr>
              <w:spacing w:after="0"/>
            </w:pPr>
            <w:r>
              <w:rPr>
                <w:rFonts w:ascii="Arial" w:cs="Arial" w:eastAsia="Arial" w:hAnsi="Arial"/>
                <w:sz w:val="20"/>
                <w:szCs w:val="20"/>
              </w:rPr>
              <w:t xml:space="preserve">Queryable facts + citation envelopes; locked-in conflict resolutions</w:t>
            </w:r>
          </w:p>
        </w:tc>
      </w:tr>
    </w:tbl>
    <w:p>
      <w:pPr>
        <w:spacing w:after="120"/>
      </w:pPr>
    </w:p>
    <w:p>
      <w:pPr>
        <w:pStyle w:val="Heading2"/>
        <w:spacing w:after="120" w:before="220"/>
      </w:pPr>
      <w:r>
        <w:rPr>
          <w:rFonts w:ascii="Arial" w:cs="Arial" w:eastAsia="Arial" w:hAnsi="Arial"/>
          <w:b/>
          <w:bCs/>
          <w:sz w:val="26"/>
          <w:szCs w:val="26"/>
        </w:rPr>
        <w:t xml:space="preserve">5.2 Cross-Document Reconciliation</w:t>
      </w:r>
    </w:p>
    <w:p>
      <w:pPr>
        <w:spacing w:after="120" w:line="300"/>
      </w:pPr>
      <w:r>
        <w:rPr>
          <w:rFonts w:ascii="Arial" w:cs="Arial" w:eastAsia="Arial" w:hAnsi="Arial"/>
          <w:sz w:val="22"/>
          <w:szCs w:val="22"/>
        </w:rPr>
        <w:t xml:space="preserve">When two sources carry the same (entity, metric, period) tuple, the Reconciliation Engine compares them. Tolerance bands depend on metric class (e.g., revenue 0.5%, EBITDA 1%, headcount exact).</w:t>
      </w:r>
    </w:p>
    <w:p>
      <w:pPr>
        <w:spacing w:after="120" w:line="300"/>
      </w:pPr>
      <w:r>
        <w:rPr>
          <w:rFonts w:ascii="Arial" w:cs="Arial" w:eastAsia="Arial" w:hAnsi="Arial"/>
          <w:sz w:val="22"/>
          <w:szCs w:val="22"/>
        </w:rPr>
        <w:t xml:space="preserve">The Krishnan Engineering file alone illustrates why this matters: its three sheets report FY24 net turnover as 114.24 Cr (owner narrative), 134.24 Cr (Tally export, Domestic + Export), and 124.28 Cr (top-customers ledger). All three are present in the same uploaded file. Without reconciliation, the system silently picks one and reports it as fact.</w:t>
      </w:r>
    </w:p>
    <w:p>
      <w:pPr>
        <w:pStyle w:val="Heading3"/>
        <w:spacing w:after="100" w:before="180"/>
      </w:pPr>
      <w:r>
        <w:rPr>
          <w:rFonts w:ascii="Arial" w:cs="Arial" w:eastAsia="Arial" w:hAnsi="Arial"/>
          <w:b/>
          <w:bCs/>
          <w:sz w:val="23"/>
          <w:szCs w:val="23"/>
        </w:rPr>
        <w:t xml:space="preserve">5.3 Reconciliation Outcomes</w:t>
      </w:r>
    </w:p>
    <w:p>
      <w:pPr>
        <w:pStyle w:val="ListParagraph"/>
        <w:numPr>
          <w:ilvl w:val="0"/>
          <w:numId w:val="2"/>
        </w:numPr>
        <w:spacing w:after="80" w:line="300"/>
      </w:pPr>
      <w:r>
        <w:rPr>
          <w:rFonts w:ascii="Arial" w:cs="Arial" w:eastAsia="Arial" w:hAnsi="Arial"/>
          <w:b/>
          <w:bCs/>
          <w:sz w:val="22"/>
          <w:szCs w:val="22"/>
        </w:rPr>
        <w:t xml:space="preserve">Within tolerance</w:t>
      </w:r>
      <w:r>
        <w:rPr>
          <w:rFonts w:ascii="Arial" w:cs="Arial" w:eastAsia="Arial" w:hAnsi="Arial"/>
          <w:sz w:val="22"/>
          <w:szCs w:val="22"/>
        </w:rPr>
        <w:t xml:space="preserve"> — pick the highest-priority source (audited &gt; tally &gt; narrative &gt; customer-ledger), record alternates as cross-references.</w:t>
      </w:r>
    </w:p>
    <w:p>
      <w:pPr>
        <w:pStyle w:val="ListParagraph"/>
        <w:numPr>
          <w:ilvl w:val="0"/>
          <w:numId w:val="2"/>
        </w:numPr>
        <w:spacing w:after="80" w:line="300"/>
      </w:pPr>
      <w:r>
        <w:rPr>
          <w:rFonts w:ascii="Arial" w:cs="Arial" w:eastAsia="Arial" w:hAnsi="Arial"/>
          <w:b/>
          <w:bCs/>
          <w:sz w:val="22"/>
          <w:szCs w:val="22"/>
        </w:rPr>
        <w:t xml:space="preserve">Outside tolerance</w:t>
      </w:r>
      <w:r>
        <w:rPr>
          <w:rFonts w:ascii="Arial" w:cs="Arial" w:eastAsia="Arial" w:hAnsi="Arial"/>
          <w:sz w:val="22"/>
          <w:szCs w:val="22"/>
        </w:rPr>
        <w:t xml:space="preserve"> — flag as conflict; the fact is ingested with a conflict marker; queries surface the disagreement at response time.</w:t>
      </w:r>
    </w:p>
    <w:p>
      <w:pPr>
        <w:pStyle w:val="ListParagraph"/>
        <w:numPr>
          <w:ilvl w:val="0"/>
          <w:numId w:val="2"/>
        </w:numPr>
        <w:spacing w:after="80" w:line="300"/>
      </w:pPr>
      <w:r>
        <w:rPr>
          <w:rFonts w:ascii="Arial" w:cs="Arial" w:eastAsia="Arial" w:hAnsi="Arial"/>
          <w:b/>
          <w:bCs/>
          <w:sz w:val="22"/>
          <w:szCs w:val="22"/>
        </w:rPr>
        <w:t xml:space="preserve">Single source</w:t>
      </w:r>
      <w:r>
        <w:rPr>
          <w:rFonts w:ascii="Arial" w:cs="Arial" w:eastAsia="Arial" w:hAnsi="Arial"/>
          <w:sz w:val="22"/>
          <w:szCs w:val="22"/>
        </w:rPr>
        <w:t xml:space="preserve"> — record source rank so future uploads can trigger reconciliation.</w:t>
      </w:r>
    </w:p>
    <w:p>
      <w:pPr>
        <w:pStyle w:val="Heading1"/>
        <w:spacing w:after="160" w:before="280"/>
      </w:pPr>
      <w:r>
        <w:rPr>
          <w:rFonts w:ascii="Arial" w:cs="Arial" w:eastAsia="Arial" w:hAnsi="Arial"/>
          <w:b/>
          <w:bCs/>
          <w:sz w:val="32"/>
          <w:szCs w:val="32"/>
        </w:rPr>
        <w:t xml:space="preserve">6. Citation &amp; Lineage Data Model (NEW)</w:t>
      </w:r>
    </w:p>
    <w:p>
      <w:pPr>
        <w:pBdr>
          <w:top w:val="single" w:color="E8D285" w:sz="4" w:space="4"/>
          <w:left w:val="single" w:color="C9A227" w:sz="18" w:space="6"/>
          <w:bottom w:val="single" w:color="E8D285" w:sz="4" w:space="4"/>
          <w:right w:val="single" w:color="E8D285" w:sz="4" w:space="4"/>
        </w:pBdr>
        <w:shd w:fill="FFF4CE" w:val="clear"/>
        <w:spacing w:after="140" w:before="100" w:line="300"/>
      </w:pPr>
      <w:r>
        <w:rPr>
          <w:rFonts w:ascii="Arial" w:cs="Arial" w:eastAsia="Arial" w:hAnsi="Arial"/>
          <w:b/>
          <w:bCs/>
          <w:color w:val="8A6D11"/>
          <w:sz w:val="20"/>
          <w:szCs w:val="20"/>
        </w:rPr>
        <w:t xml:space="preserve">REVISION v1.1 — </w:t>
      </w:r>
      <w:r>
        <w:rPr>
          <w:rFonts w:ascii="Arial" w:cs="Arial" w:eastAsia="Arial" w:hAnsi="Arial"/>
          <w:color w:val="3D2F00"/>
          <w:sz w:val="20"/>
          <w:szCs w:val="20"/>
        </w:rPr>
        <w:t xml:space="preserve">v1.0 says "every AI-generated assertion must include a direct citation" but does not specify what a citation contains. This section defines the citation envelope used by all Phase 3 tools.</w:t>
      </w:r>
    </w:p>
    <w:p>
      <w:pPr>
        <w:pStyle w:val="Heading2"/>
        <w:spacing w:after="120" w:before="220"/>
      </w:pPr>
      <w:r>
        <w:rPr>
          <w:rFonts w:ascii="Arial" w:cs="Arial" w:eastAsia="Arial" w:hAnsi="Arial"/>
          <w:b/>
          <w:bCs/>
          <w:sz w:val="26"/>
          <w:szCs w:val="26"/>
        </w:rPr>
        <w:t xml:space="preserve">6.1 Citation Envelope</w:t>
      </w:r>
    </w:p>
    <w:p>
      <w:pPr>
        <w:spacing w:after="120" w:line="300"/>
      </w:pPr>
      <w:r>
        <w:rPr>
          <w:rFonts w:ascii="Arial" w:cs="Arial" w:eastAsia="Arial" w:hAnsi="Arial"/>
          <w:sz w:val="22"/>
          <w:szCs w:val="22"/>
        </w:rPr>
        <w:t xml:space="preserve">Every numerical fact returned by a tool carries a citation envelope with the following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BFBFBF" w:sz="6"/>
              <w:left w:val="single" w:color="BFBFBF" w:sz="6"/>
              <w:bottom w:val="single" w:color="BFBFBF" w:sz="6"/>
              <w:right w:val="single" w:color="BFBFBF" w:sz="6"/>
            </w:tcBorders>
            <w:shd w:fill="1F3864" w:val="clear"/>
            <w:tcMar>
              <w:top w:type="dxa" w:w="100"/>
              <w:left w:type="dxa" w:w="140"/>
              <w:bottom w:type="dxa" w:w="100"/>
              <w:right w:type="dxa" w:w="140"/>
            </w:tcMar>
          </w:tcPr>
          <w:p>
            <w:pPr>
              <w:spacing w:after="0"/>
            </w:pPr>
            <w:r>
              <w:rPr>
                <w:rFonts w:ascii="Arial" w:cs="Arial" w:eastAsia="Arial" w:hAnsi="Arial"/>
                <w:b/>
                <w:bCs/>
                <w:color w:val="FFFFFF"/>
                <w:sz w:val="21"/>
                <w:szCs w:val="21"/>
              </w:rPr>
              <w:t xml:space="preserve">Field</w:t>
            </w:r>
          </w:p>
        </w:tc>
        <w:tc>
          <w:tcPr>
            <w:tcW w:type="dxa" w:w="1800"/>
            <w:tcBorders>
              <w:top w:val="single" w:color="BFBFBF" w:sz="6"/>
              <w:left w:val="single" w:color="BFBFBF" w:sz="6"/>
              <w:bottom w:val="single" w:color="BFBFBF" w:sz="6"/>
              <w:right w:val="single" w:color="BFBFBF" w:sz="6"/>
            </w:tcBorders>
            <w:shd w:fill="1F3864" w:val="clear"/>
            <w:tcMar>
              <w:top w:type="dxa" w:w="100"/>
              <w:left w:type="dxa" w:w="140"/>
              <w:bottom w:type="dxa" w:w="100"/>
              <w:right w:type="dxa" w:w="140"/>
            </w:tcMar>
          </w:tcPr>
          <w:p>
            <w:pPr>
              <w:spacing w:after="0"/>
            </w:pPr>
            <w:r>
              <w:rPr>
                <w:rFonts w:ascii="Arial" w:cs="Arial" w:eastAsia="Arial" w:hAnsi="Arial"/>
                <w:b/>
                <w:bCs/>
                <w:color w:val="FFFFFF"/>
                <w:sz w:val="21"/>
                <w:szCs w:val="21"/>
              </w:rPr>
              <w:t xml:space="preserve">Type</w:t>
            </w:r>
          </w:p>
        </w:tc>
        <w:tc>
          <w:tcPr>
            <w:tcW w:type="dxa" w:w="5160"/>
            <w:tcBorders>
              <w:top w:val="single" w:color="BFBFBF" w:sz="6"/>
              <w:left w:val="single" w:color="BFBFBF" w:sz="6"/>
              <w:bottom w:val="single" w:color="BFBFBF" w:sz="6"/>
              <w:right w:val="single" w:color="BFBFBF" w:sz="6"/>
            </w:tcBorders>
            <w:shd w:fill="1F3864" w:val="clear"/>
            <w:tcMar>
              <w:top w:type="dxa" w:w="100"/>
              <w:left w:type="dxa" w:w="140"/>
              <w:bottom w:type="dxa" w:w="100"/>
              <w:right w:type="dxa" w:w="140"/>
            </w:tcMar>
          </w:tcPr>
          <w:p>
            <w:pPr>
              <w:spacing w:after="0"/>
            </w:pPr>
            <w:r>
              <w:rPr>
                <w:rFonts w:ascii="Arial" w:cs="Arial" w:eastAsia="Arial" w:hAnsi="Arial"/>
                <w:b/>
                <w:bCs/>
                <w:color w:val="FFFFFF"/>
                <w:sz w:val="21"/>
                <w:szCs w:val="21"/>
              </w:rPr>
              <w:t xml:space="preserve">Example</w:t>
            </w:r>
          </w:p>
        </w:tc>
      </w:tr>
      <w:tr>
        <w:tc>
          <w:tcPr>
            <w:tcW w:type="dxa" w:w="2400"/>
            <w:tcBorders>
              <w:top w:val="single" w:color="BFBFBF" w:sz="6"/>
              <w:left w:val="single" w:color="BFBFBF" w:sz="6"/>
              <w:bottom w:val="single" w:color="BFBFBF" w:sz="6"/>
              <w:right w:val="single" w:color="BFBFBF" w:sz="6"/>
            </w:tcBorders>
            <w:tcMar>
              <w:top w:type="dxa" w:w="90"/>
              <w:left w:type="dxa" w:w="140"/>
              <w:bottom w:type="dxa" w:w="90"/>
              <w:right w:type="dxa" w:w="140"/>
            </w:tcMar>
          </w:tcPr>
          <w:p>
            <w:pPr>
              <w:spacing w:after="0"/>
            </w:pPr>
            <w:r>
              <w:rPr>
                <w:rFonts w:ascii="Arial" w:cs="Arial" w:eastAsia="Arial" w:hAnsi="Arial"/>
                <w:sz w:val="20"/>
                <w:szCs w:val="20"/>
              </w:rPr>
              <w:t xml:space="preserve">source_file</w:t>
            </w:r>
          </w:p>
        </w:tc>
        <w:tc>
          <w:tcPr>
            <w:tcW w:type="dxa" w:w="1800"/>
            <w:tcBorders>
              <w:top w:val="single" w:color="BFBFBF" w:sz="6"/>
              <w:left w:val="single" w:color="BFBFBF" w:sz="6"/>
              <w:bottom w:val="single" w:color="BFBFBF" w:sz="6"/>
              <w:right w:val="single" w:color="BFBFBF" w:sz="6"/>
            </w:tcBorders>
            <w:tcMar>
              <w:top w:type="dxa" w:w="90"/>
              <w:left w:type="dxa" w:w="140"/>
              <w:bottom w:type="dxa" w:w="90"/>
              <w:right w:type="dxa" w:w="140"/>
            </w:tcMar>
          </w:tcPr>
          <w:p>
            <w:pPr>
              <w:spacing w:after="0"/>
            </w:pPr>
            <w:r>
              <w:rPr>
                <w:rFonts w:ascii="Arial" w:cs="Arial" w:eastAsia="Arial" w:hAnsi="Arial"/>
                <w:sz w:val="20"/>
                <w:szCs w:val="20"/>
              </w:rPr>
              <w:t xml:space="preserve">string</w:t>
            </w:r>
          </w:p>
        </w:tc>
        <w:tc>
          <w:tcPr>
            <w:tcW w:type="dxa" w:w="5160"/>
            <w:tcBorders>
              <w:top w:val="single" w:color="BFBFBF" w:sz="6"/>
              <w:left w:val="single" w:color="BFBFBF" w:sz="6"/>
              <w:bottom w:val="single" w:color="BFBFBF" w:sz="6"/>
              <w:right w:val="single" w:color="BFBFBF" w:sz="6"/>
            </w:tcBorders>
            <w:tcMar>
              <w:top w:type="dxa" w:w="90"/>
              <w:left w:type="dxa" w:w="140"/>
              <w:bottom w:type="dxa" w:w="90"/>
              <w:right w:type="dxa" w:w="140"/>
            </w:tcMar>
          </w:tcPr>
          <w:p>
            <w:pPr>
              <w:spacing w:after="0"/>
            </w:pPr>
            <w:r>
              <w:rPr>
                <w:rFonts w:ascii="Arial" w:cs="Arial" w:eastAsia="Arial" w:hAnsi="Arial"/>
                <w:sz w:val="20"/>
                <w:szCs w:val="20"/>
              </w:rPr>
              <w:t xml:space="preserve">Sharma_Textiles_Financials_FY24_v3_FINAL_revised.xlsx</w:t>
            </w:r>
          </w:p>
        </w:tc>
      </w:tr>
      <w:tr>
        <w:tc>
          <w:tcPr>
            <w:tcW w:type="dxa" w:w="2400"/>
            <w:tcBorders>
              <w:top w:val="single" w:color="BFBFBF" w:sz="6"/>
              <w:left w:val="single" w:color="BFBFBF" w:sz="6"/>
              <w:bottom w:val="single" w:color="BFBFBF" w:sz="6"/>
              <w:right w:val="single" w:color="BFBFBF" w:sz="6"/>
            </w:tcBorders>
            <w:shd w:fill="F2F2F2" w:val="clear"/>
            <w:tcMar>
              <w:top w:type="dxa" w:w="90"/>
              <w:left w:type="dxa" w:w="140"/>
              <w:bottom w:type="dxa" w:w="90"/>
              <w:right w:type="dxa" w:w="140"/>
            </w:tcMar>
          </w:tcPr>
          <w:p>
            <w:pPr>
              <w:spacing w:after="0"/>
            </w:pPr>
            <w:r>
              <w:rPr>
                <w:rFonts w:ascii="Arial" w:cs="Arial" w:eastAsia="Arial" w:hAnsi="Arial"/>
                <w:sz w:val="20"/>
                <w:szCs w:val="20"/>
              </w:rPr>
              <w:t xml:space="preserve">sheet</w:t>
            </w:r>
          </w:p>
        </w:tc>
        <w:tc>
          <w:tcPr>
            <w:tcW w:type="dxa" w:w="1800"/>
            <w:tcBorders>
              <w:top w:val="single" w:color="BFBFBF" w:sz="6"/>
              <w:left w:val="single" w:color="BFBFBF" w:sz="6"/>
              <w:bottom w:val="single" w:color="BFBFBF" w:sz="6"/>
              <w:right w:val="single" w:color="BFBFBF" w:sz="6"/>
            </w:tcBorders>
            <w:shd w:fill="F2F2F2" w:val="clear"/>
            <w:tcMar>
              <w:top w:type="dxa" w:w="90"/>
              <w:left w:type="dxa" w:w="140"/>
              <w:bottom w:type="dxa" w:w="90"/>
              <w:right w:type="dxa" w:w="140"/>
            </w:tcMar>
          </w:tcPr>
          <w:p>
            <w:pPr>
              <w:spacing w:after="0"/>
            </w:pPr>
            <w:r>
              <w:rPr>
                <w:rFonts w:ascii="Arial" w:cs="Arial" w:eastAsia="Arial" w:hAnsi="Arial"/>
                <w:sz w:val="20"/>
                <w:szCs w:val="20"/>
              </w:rPr>
              <w:t xml:space="preserve">string</w:t>
            </w:r>
          </w:p>
        </w:tc>
        <w:tc>
          <w:tcPr>
            <w:tcW w:type="dxa" w:w="5160"/>
            <w:tcBorders>
              <w:top w:val="single" w:color="BFBFBF" w:sz="6"/>
              <w:left w:val="single" w:color="BFBFBF" w:sz="6"/>
              <w:bottom w:val="single" w:color="BFBFBF" w:sz="6"/>
              <w:right w:val="single" w:color="BFBFBF" w:sz="6"/>
            </w:tcBorders>
            <w:shd w:fill="F2F2F2" w:val="clear"/>
            <w:tcMar>
              <w:top w:type="dxa" w:w="90"/>
              <w:left w:type="dxa" w:w="140"/>
              <w:bottom w:type="dxa" w:w="90"/>
              <w:right w:type="dxa" w:w="140"/>
            </w:tcMar>
          </w:tcPr>
          <w:p>
            <w:pPr>
              <w:spacing w:after="0"/>
            </w:pPr>
            <w:r>
              <w:rPr>
                <w:rFonts w:ascii="Arial" w:cs="Arial" w:eastAsia="Arial" w:hAnsi="Arial"/>
                <w:sz w:val="20"/>
                <w:szCs w:val="20"/>
              </w:rPr>
              <w:t xml:space="preserve">Other Exp Detail</w:t>
            </w:r>
          </w:p>
        </w:tc>
      </w:tr>
      <w:tr>
        <w:tc>
          <w:tcPr>
            <w:tcW w:type="dxa" w:w="2400"/>
            <w:tcBorders>
              <w:top w:val="single" w:color="BFBFBF" w:sz="6"/>
              <w:left w:val="single" w:color="BFBFBF" w:sz="6"/>
              <w:bottom w:val="single" w:color="BFBFBF" w:sz="6"/>
              <w:right w:val="single" w:color="BFBFBF" w:sz="6"/>
            </w:tcBorders>
            <w:tcMar>
              <w:top w:type="dxa" w:w="90"/>
              <w:left w:type="dxa" w:w="140"/>
              <w:bottom w:type="dxa" w:w="90"/>
              <w:right w:type="dxa" w:w="140"/>
            </w:tcMar>
          </w:tcPr>
          <w:p>
            <w:pPr>
              <w:spacing w:after="0"/>
            </w:pPr>
            <w:r>
              <w:rPr>
                <w:rFonts w:ascii="Arial" w:cs="Arial" w:eastAsia="Arial" w:hAnsi="Arial"/>
                <w:sz w:val="20"/>
                <w:szCs w:val="20"/>
              </w:rPr>
              <w:t xml:space="preserve">cell</w:t>
            </w:r>
          </w:p>
        </w:tc>
        <w:tc>
          <w:tcPr>
            <w:tcW w:type="dxa" w:w="1800"/>
            <w:tcBorders>
              <w:top w:val="single" w:color="BFBFBF" w:sz="6"/>
              <w:left w:val="single" w:color="BFBFBF" w:sz="6"/>
              <w:bottom w:val="single" w:color="BFBFBF" w:sz="6"/>
              <w:right w:val="single" w:color="BFBFBF" w:sz="6"/>
            </w:tcBorders>
            <w:tcMar>
              <w:top w:type="dxa" w:w="90"/>
              <w:left w:type="dxa" w:w="140"/>
              <w:bottom w:type="dxa" w:w="90"/>
              <w:right w:type="dxa" w:w="140"/>
            </w:tcMar>
          </w:tcPr>
          <w:p>
            <w:pPr>
              <w:spacing w:after="0"/>
            </w:pPr>
            <w:r>
              <w:rPr>
                <w:rFonts w:ascii="Arial" w:cs="Arial" w:eastAsia="Arial" w:hAnsi="Arial"/>
                <w:sz w:val="20"/>
                <w:szCs w:val="20"/>
              </w:rPr>
              <w:t xml:space="preserve">string (A1 ref)</w:t>
            </w:r>
          </w:p>
        </w:tc>
        <w:tc>
          <w:tcPr>
            <w:tcW w:type="dxa" w:w="5160"/>
            <w:tcBorders>
              <w:top w:val="single" w:color="BFBFBF" w:sz="6"/>
              <w:left w:val="single" w:color="BFBFBF" w:sz="6"/>
              <w:bottom w:val="single" w:color="BFBFBF" w:sz="6"/>
              <w:right w:val="single" w:color="BFBFBF" w:sz="6"/>
            </w:tcBorders>
            <w:tcMar>
              <w:top w:type="dxa" w:w="90"/>
              <w:left w:type="dxa" w:w="140"/>
              <w:bottom w:type="dxa" w:w="90"/>
              <w:right w:type="dxa" w:w="140"/>
            </w:tcMar>
          </w:tcPr>
          <w:p>
            <w:pPr>
              <w:spacing w:after="0"/>
            </w:pPr>
            <w:r>
              <w:rPr>
                <w:rFonts w:ascii="Arial" w:cs="Arial" w:eastAsia="Arial" w:hAnsi="Arial"/>
                <w:sz w:val="20"/>
                <w:szCs w:val="20"/>
              </w:rPr>
              <w:t xml:space="preserve">B8</w:t>
            </w:r>
          </w:p>
        </w:tc>
      </w:tr>
      <w:tr>
        <w:tc>
          <w:tcPr>
            <w:tcW w:type="dxa" w:w="2400"/>
            <w:tcBorders>
              <w:top w:val="single" w:color="BFBFBF" w:sz="6"/>
              <w:left w:val="single" w:color="BFBFBF" w:sz="6"/>
              <w:bottom w:val="single" w:color="BFBFBF" w:sz="6"/>
              <w:right w:val="single" w:color="BFBFBF" w:sz="6"/>
            </w:tcBorders>
            <w:shd w:fill="F2F2F2" w:val="clear"/>
            <w:tcMar>
              <w:top w:type="dxa" w:w="90"/>
              <w:left w:type="dxa" w:w="140"/>
              <w:bottom w:type="dxa" w:w="90"/>
              <w:right w:type="dxa" w:w="140"/>
            </w:tcMar>
          </w:tcPr>
          <w:p>
            <w:pPr>
              <w:spacing w:after="0"/>
            </w:pPr>
            <w:r>
              <w:rPr>
                <w:rFonts w:ascii="Arial" w:cs="Arial" w:eastAsia="Arial" w:hAnsi="Arial"/>
                <w:sz w:val="20"/>
                <w:szCs w:val="20"/>
              </w:rPr>
              <w:t xml:space="preserve">row_label</w:t>
            </w:r>
          </w:p>
        </w:tc>
        <w:tc>
          <w:tcPr>
            <w:tcW w:type="dxa" w:w="1800"/>
            <w:tcBorders>
              <w:top w:val="single" w:color="BFBFBF" w:sz="6"/>
              <w:left w:val="single" w:color="BFBFBF" w:sz="6"/>
              <w:bottom w:val="single" w:color="BFBFBF" w:sz="6"/>
              <w:right w:val="single" w:color="BFBFBF" w:sz="6"/>
            </w:tcBorders>
            <w:shd w:fill="F2F2F2" w:val="clear"/>
            <w:tcMar>
              <w:top w:type="dxa" w:w="90"/>
              <w:left w:type="dxa" w:w="140"/>
              <w:bottom w:type="dxa" w:w="90"/>
              <w:right w:type="dxa" w:w="140"/>
            </w:tcMar>
          </w:tcPr>
          <w:p>
            <w:pPr>
              <w:spacing w:after="0"/>
            </w:pPr>
            <w:r>
              <w:rPr>
                <w:rFonts w:ascii="Arial" w:cs="Arial" w:eastAsia="Arial" w:hAnsi="Arial"/>
                <w:sz w:val="20"/>
                <w:szCs w:val="20"/>
              </w:rPr>
              <w:t xml:space="preserve">string</w:t>
            </w:r>
          </w:p>
        </w:tc>
        <w:tc>
          <w:tcPr>
            <w:tcW w:type="dxa" w:w="5160"/>
            <w:tcBorders>
              <w:top w:val="single" w:color="BFBFBF" w:sz="6"/>
              <w:left w:val="single" w:color="BFBFBF" w:sz="6"/>
              <w:bottom w:val="single" w:color="BFBFBF" w:sz="6"/>
              <w:right w:val="single" w:color="BFBFBF" w:sz="6"/>
            </w:tcBorders>
            <w:shd w:fill="F2F2F2" w:val="clear"/>
            <w:tcMar>
              <w:top w:type="dxa" w:w="90"/>
              <w:left w:type="dxa" w:w="140"/>
              <w:bottom w:type="dxa" w:w="90"/>
              <w:right w:type="dxa" w:w="140"/>
            </w:tcMar>
          </w:tcPr>
          <w:p>
            <w:pPr>
              <w:spacing w:after="0"/>
            </w:pPr>
            <w:r>
              <w:rPr>
                <w:rFonts w:ascii="Arial" w:cs="Arial" w:eastAsia="Arial" w:hAnsi="Arial"/>
                <w:sz w:val="20"/>
                <w:szCs w:val="20"/>
              </w:rPr>
              <w:t xml:space="preserve">Legal &amp; Professional (in Rs.)</w:t>
            </w:r>
          </w:p>
        </w:tc>
      </w:tr>
      <w:tr>
        <w:tc>
          <w:tcPr>
            <w:tcW w:type="dxa" w:w="2400"/>
            <w:tcBorders>
              <w:top w:val="single" w:color="BFBFBF" w:sz="6"/>
              <w:left w:val="single" w:color="BFBFBF" w:sz="6"/>
              <w:bottom w:val="single" w:color="BFBFBF" w:sz="6"/>
              <w:right w:val="single" w:color="BFBFBF" w:sz="6"/>
            </w:tcBorders>
            <w:tcMar>
              <w:top w:type="dxa" w:w="90"/>
              <w:left w:type="dxa" w:w="140"/>
              <w:bottom w:type="dxa" w:w="90"/>
              <w:right w:type="dxa" w:w="140"/>
            </w:tcMar>
          </w:tcPr>
          <w:p>
            <w:pPr>
              <w:spacing w:after="0"/>
            </w:pPr>
            <w:r>
              <w:rPr>
                <w:rFonts w:ascii="Arial" w:cs="Arial" w:eastAsia="Arial" w:hAnsi="Arial"/>
                <w:sz w:val="20"/>
                <w:szCs w:val="20"/>
              </w:rPr>
              <w:t xml:space="preserve">column_label</w:t>
            </w:r>
          </w:p>
        </w:tc>
        <w:tc>
          <w:tcPr>
            <w:tcW w:type="dxa" w:w="1800"/>
            <w:tcBorders>
              <w:top w:val="single" w:color="BFBFBF" w:sz="6"/>
              <w:left w:val="single" w:color="BFBFBF" w:sz="6"/>
              <w:bottom w:val="single" w:color="BFBFBF" w:sz="6"/>
              <w:right w:val="single" w:color="BFBFBF" w:sz="6"/>
            </w:tcBorders>
            <w:tcMar>
              <w:top w:type="dxa" w:w="90"/>
              <w:left w:type="dxa" w:w="140"/>
              <w:bottom w:type="dxa" w:w="90"/>
              <w:right w:type="dxa" w:w="140"/>
            </w:tcMar>
          </w:tcPr>
          <w:p>
            <w:pPr>
              <w:spacing w:after="0"/>
            </w:pPr>
            <w:r>
              <w:rPr>
                <w:rFonts w:ascii="Arial" w:cs="Arial" w:eastAsia="Arial" w:hAnsi="Arial"/>
                <w:sz w:val="20"/>
                <w:szCs w:val="20"/>
              </w:rPr>
              <w:t xml:space="preserve">string</w:t>
            </w:r>
          </w:p>
        </w:tc>
        <w:tc>
          <w:tcPr>
            <w:tcW w:type="dxa" w:w="5160"/>
            <w:tcBorders>
              <w:top w:val="single" w:color="BFBFBF" w:sz="6"/>
              <w:left w:val="single" w:color="BFBFBF" w:sz="6"/>
              <w:bottom w:val="single" w:color="BFBFBF" w:sz="6"/>
              <w:right w:val="single" w:color="BFBFBF" w:sz="6"/>
            </w:tcBorders>
            <w:tcMar>
              <w:top w:type="dxa" w:w="90"/>
              <w:left w:type="dxa" w:w="140"/>
              <w:bottom w:type="dxa" w:w="90"/>
              <w:right w:type="dxa" w:w="140"/>
            </w:tcMar>
          </w:tcPr>
          <w:p>
            <w:pPr>
              <w:spacing w:after="0"/>
            </w:pPr>
            <w:r>
              <w:rPr>
                <w:rFonts w:ascii="Arial" w:cs="Arial" w:eastAsia="Arial" w:hAnsi="Arial"/>
                <w:sz w:val="20"/>
                <w:szCs w:val="20"/>
              </w:rPr>
              <w:t xml:space="preserve">FY24</w:t>
            </w:r>
          </w:p>
        </w:tc>
      </w:tr>
      <w:tr>
        <w:tc>
          <w:tcPr>
            <w:tcW w:type="dxa" w:w="2400"/>
            <w:tcBorders>
              <w:top w:val="single" w:color="BFBFBF" w:sz="6"/>
              <w:left w:val="single" w:color="BFBFBF" w:sz="6"/>
              <w:bottom w:val="single" w:color="BFBFBF" w:sz="6"/>
              <w:right w:val="single" w:color="BFBFBF" w:sz="6"/>
            </w:tcBorders>
            <w:shd w:fill="F2F2F2" w:val="clear"/>
            <w:tcMar>
              <w:top w:type="dxa" w:w="90"/>
              <w:left w:type="dxa" w:w="140"/>
              <w:bottom w:type="dxa" w:w="90"/>
              <w:right w:type="dxa" w:w="140"/>
            </w:tcMar>
          </w:tcPr>
          <w:p>
            <w:pPr>
              <w:spacing w:after="0"/>
            </w:pPr>
            <w:r>
              <w:rPr>
                <w:rFonts w:ascii="Arial" w:cs="Arial" w:eastAsia="Arial" w:hAnsi="Arial"/>
                <w:sz w:val="20"/>
                <w:szCs w:val="20"/>
              </w:rPr>
              <w:t xml:space="preserve">original_value</w:t>
            </w:r>
          </w:p>
        </w:tc>
        <w:tc>
          <w:tcPr>
            <w:tcW w:type="dxa" w:w="1800"/>
            <w:tcBorders>
              <w:top w:val="single" w:color="BFBFBF" w:sz="6"/>
              <w:left w:val="single" w:color="BFBFBF" w:sz="6"/>
              <w:bottom w:val="single" w:color="BFBFBF" w:sz="6"/>
              <w:right w:val="single" w:color="BFBFBF" w:sz="6"/>
            </w:tcBorders>
            <w:shd w:fill="F2F2F2" w:val="clear"/>
            <w:tcMar>
              <w:top w:type="dxa" w:w="90"/>
              <w:left w:type="dxa" w:w="140"/>
              <w:bottom w:type="dxa" w:w="90"/>
              <w:right w:type="dxa" w:w="140"/>
            </w:tcMar>
          </w:tcPr>
          <w:p>
            <w:pPr>
              <w:spacing w:after="0"/>
            </w:pPr>
            <w:r>
              <w:rPr>
                <w:rFonts w:ascii="Arial" w:cs="Arial" w:eastAsia="Arial" w:hAnsi="Arial"/>
                <w:sz w:val="20"/>
                <w:szCs w:val="20"/>
              </w:rPr>
              <w:t xml:space="preserve">string (verbatim)</w:t>
            </w:r>
          </w:p>
        </w:tc>
        <w:tc>
          <w:tcPr>
            <w:tcW w:type="dxa" w:w="5160"/>
            <w:tcBorders>
              <w:top w:val="single" w:color="BFBFBF" w:sz="6"/>
              <w:left w:val="single" w:color="BFBFBF" w:sz="6"/>
              <w:bottom w:val="single" w:color="BFBFBF" w:sz="6"/>
              <w:right w:val="single" w:color="BFBFBF" w:sz="6"/>
            </w:tcBorders>
            <w:shd w:fill="F2F2F2" w:val="clear"/>
            <w:tcMar>
              <w:top w:type="dxa" w:w="90"/>
              <w:left w:type="dxa" w:w="140"/>
              <w:bottom w:type="dxa" w:w="90"/>
              <w:right w:type="dxa" w:w="140"/>
            </w:tcMar>
          </w:tcPr>
          <w:p>
            <w:pPr>
              <w:spacing w:after="0"/>
            </w:pPr>
            <w:r>
              <w:rPr>
                <w:rFonts w:ascii="Arial" w:cs="Arial" w:eastAsia="Arial" w:hAnsi="Arial"/>
                <w:sz w:val="20"/>
                <w:szCs w:val="20"/>
              </w:rPr>
              <w:t xml:space="preserve">2845000</w:t>
            </w:r>
          </w:p>
        </w:tc>
      </w:tr>
      <w:tr>
        <w:tc>
          <w:tcPr>
            <w:tcW w:type="dxa" w:w="2400"/>
            <w:tcBorders>
              <w:top w:val="single" w:color="BFBFBF" w:sz="6"/>
              <w:left w:val="single" w:color="BFBFBF" w:sz="6"/>
              <w:bottom w:val="single" w:color="BFBFBF" w:sz="6"/>
              <w:right w:val="single" w:color="BFBFBF" w:sz="6"/>
            </w:tcBorders>
            <w:tcMar>
              <w:top w:type="dxa" w:w="90"/>
              <w:left w:type="dxa" w:w="140"/>
              <w:bottom w:type="dxa" w:w="90"/>
              <w:right w:type="dxa" w:w="140"/>
            </w:tcMar>
          </w:tcPr>
          <w:p>
            <w:pPr>
              <w:spacing w:after="0"/>
            </w:pPr>
            <w:r>
              <w:rPr>
                <w:rFonts w:ascii="Arial" w:cs="Arial" w:eastAsia="Arial" w:hAnsi="Arial"/>
                <w:sz w:val="20"/>
                <w:szCs w:val="20"/>
              </w:rPr>
              <w:t xml:space="preserve">original_unit</w:t>
            </w:r>
          </w:p>
        </w:tc>
        <w:tc>
          <w:tcPr>
            <w:tcW w:type="dxa" w:w="1800"/>
            <w:tcBorders>
              <w:top w:val="single" w:color="BFBFBF" w:sz="6"/>
              <w:left w:val="single" w:color="BFBFBF" w:sz="6"/>
              <w:bottom w:val="single" w:color="BFBFBF" w:sz="6"/>
              <w:right w:val="single" w:color="BFBFBF" w:sz="6"/>
            </w:tcBorders>
            <w:tcMar>
              <w:top w:type="dxa" w:w="90"/>
              <w:left w:type="dxa" w:w="140"/>
              <w:bottom w:type="dxa" w:w="90"/>
              <w:right w:type="dxa" w:w="140"/>
            </w:tcMar>
          </w:tcPr>
          <w:p>
            <w:pPr>
              <w:spacing w:after="0"/>
            </w:pPr>
            <w:r>
              <w:rPr>
                <w:rFonts w:ascii="Arial" w:cs="Arial" w:eastAsia="Arial" w:hAnsi="Arial"/>
                <w:sz w:val="20"/>
                <w:szCs w:val="20"/>
              </w:rPr>
              <w:t xml:space="preserve">enum</w:t>
            </w:r>
          </w:p>
        </w:tc>
        <w:tc>
          <w:tcPr>
            <w:tcW w:type="dxa" w:w="5160"/>
            <w:tcBorders>
              <w:top w:val="single" w:color="BFBFBF" w:sz="6"/>
              <w:left w:val="single" w:color="BFBFBF" w:sz="6"/>
              <w:bottom w:val="single" w:color="BFBFBF" w:sz="6"/>
              <w:right w:val="single" w:color="BFBFBF" w:sz="6"/>
            </w:tcBorders>
            <w:tcMar>
              <w:top w:type="dxa" w:w="90"/>
              <w:left w:type="dxa" w:w="140"/>
              <w:bottom w:type="dxa" w:w="90"/>
              <w:right w:type="dxa" w:w="140"/>
            </w:tcMar>
          </w:tcPr>
          <w:p>
            <w:pPr>
              <w:spacing w:after="0"/>
            </w:pPr>
            <w:r>
              <w:rPr>
                <w:rFonts w:ascii="Arial" w:cs="Arial" w:eastAsia="Arial" w:hAnsi="Arial"/>
                <w:sz w:val="20"/>
                <w:szCs w:val="20"/>
              </w:rPr>
              <w:t xml:space="preserve">INR_absolute</w:t>
            </w:r>
          </w:p>
        </w:tc>
      </w:tr>
      <w:tr>
        <w:tc>
          <w:tcPr>
            <w:tcW w:type="dxa" w:w="2400"/>
            <w:tcBorders>
              <w:top w:val="single" w:color="BFBFBF" w:sz="6"/>
              <w:left w:val="single" w:color="BFBFBF" w:sz="6"/>
              <w:bottom w:val="single" w:color="BFBFBF" w:sz="6"/>
              <w:right w:val="single" w:color="BFBFBF" w:sz="6"/>
            </w:tcBorders>
            <w:shd w:fill="F2F2F2" w:val="clear"/>
            <w:tcMar>
              <w:top w:type="dxa" w:w="90"/>
              <w:left w:type="dxa" w:w="140"/>
              <w:bottom w:type="dxa" w:w="90"/>
              <w:right w:type="dxa" w:w="140"/>
            </w:tcMar>
          </w:tcPr>
          <w:p>
            <w:pPr>
              <w:spacing w:after="0"/>
            </w:pPr>
            <w:r>
              <w:rPr>
                <w:rFonts w:ascii="Arial" w:cs="Arial" w:eastAsia="Arial" w:hAnsi="Arial"/>
                <w:sz w:val="20"/>
                <w:szCs w:val="20"/>
              </w:rPr>
              <w:t xml:space="preserve">normalized_value</w:t>
            </w:r>
          </w:p>
        </w:tc>
        <w:tc>
          <w:tcPr>
            <w:tcW w:type="dxa" w:w="1800"/>
            <w:tcBorders>
              <w:top w:val="single" w:color="BFBFBF" w:sz="6"/>
              <w:left w:val="single" w:color="BFBFBF" w:sz="6"/>
              <w:bottom w:val="single" w:color="BFBFBF" w:sz="6"/>
              <w:right w:val="single" w:color="BFBFBF" w:sz="6"/>
            </w:tcBorders>
            <w:shd w:fill="F2F2F2" w:val="clear"/>
            <w:tcMar>
              <w:top w:type="dxa" w:w="90"/>
              <w:left w:type="dxa" w:w="140"/>
              <w:bottom w:type="dxa" w:w="90"/>
              <w:right w:type="dxa" w:w="140"/>
            </w:tcMar>
          </w:tcPr>
          <w:p>
            <w:pPr>
              <w:spacing w:after="0"/>
            </w:pPr>
            <w:r>
              <w:rPr>
                <w:rFonts w:ascii="Arial" w:cs="Arial" w:eastAsia="Arial" w:hAnsi="Arial"/>
                <w:sz w:val="20"/>
                <w:szCs w:val="20"/>
              </w:rPr>
              <w:t xml:space="preserve">decimal</w:t>
            </w:r>
          </w:p>
        </w:tc>
        <w:tc>
          <w:tcPr>
            <w:tcW w:type="dxa" w:w="5160"/>
            <w:tcBorders>
              <w:top w:val="single" w:color="BFBFBF" w:sz="6"/>
              <w:left w:val="single" w:color="BFBFBF" w:sz="6"/>
              <w:bottom w:val="single" w:color="BFBFBF" w:sz="6"/>
              <w:right w:val="single" w:color="BFBFBF" w:sz="6"/>
            </w:tcBorders>
            <w:shd w:fill="F2F2F2" w:val="clear"/>
            <w:tcMar>
              <w:top w:type="dxa" w:w="90"/>
              <w:left w:type="dxa" w:w="140"/>
              <w:bottom w:type="dxa" w:w="90"/>
              <w:right w:type="dxa" w:w="140"/>
            </w:tcMar>
          </w:tcPr>
          <w:p>
            <w:pPr>
              <w:spacing w:after="0"/>
            </w:pPr>
            <w:r>
              <w:rPr>
                <w:rFonts w:ascii="Arial" w:cs="Arial" w:eastAsia="Arial" w:hAnsi="Arial"/>
                <w:sz w:val="20"/>
                <w:szCs w:val="20"/>
              </w:rPr>
              <w:t xml:space="preserve">28.45</w:t>
            </w:r>
          </w:p>
        </w:tc>
      </w:tr>
      <w:tr>
        <w:tc>
          <w:tcPr>
            <w:tcW w:type="dxa" w:w="2400"/>
            <w:tcBorders>
              <w:top w:val="single" w:color="BFBFBF" w:sz="6"/>
              <w:left w:val="single" w:color="BFBFBF" w:sz="6"/>
              <w:bottom w:val="single" w:color="BFBFBF" w:sz="6"/>
              <w:right w:val="single" w:color="BFBFBF" w:sz="6"/>
            </w:tcBorders>
            <w:tcMar>
              <w:top w:type="dxa" w:w="90"/>
              <w:left w:type="dxa" w:w="140"/>
              <w:bottom w:type="dxa" w:w="90"/>
              <w:right w:type="dxa" w:w="140"/>
            </w:tcMar>
          </w:tcPr>
          <w:p>
            <w:pPr>
              <w:spacing w:after="0"/>
            </w:pPr>
            <w:r>
              <w:rPr>
                <w:rFonts w:ascii="Arial" w:cs="Arial" w:eastAsia="Arial" w:hAnsi="Arial"/>
                <w:sz w:val="20"/>
                <w:szCs w:val="20"/>
              </w:rPr>
              <w:t xml:space="preserve">normalized_unit</w:t>
            </w:r>
          </w:p>
        </w:tc>
        <w:tc>
          <w:tcPr>
            <w:tcW w:type="dxa" w:w="1800"/>
            <w:tcBorders>
              <w:top w:val="single" w:color="BFBFBF" w:sz="6"/>
              <w:left w:val="single" w:color="BFBFBF" w:sz="6"/>
              <w:bottom w:val="single" w:color="BFBFBF" w:sz="6"/>
              <w:right w:val="single" w:color="BFBFBF" w:sz="6"/>
            </w:tcBorders>
            <w:tcMar>
              <w:top w:type="dxa" w:w="90"/>
              <w:left w:type="dxa" w:w="140"/>
              <w:bottom w:type="dxa" w:w="90"/>
              <w:right w:type="dxa" w:w="140"/>
            </w:tcMar>
          </w:tcPr>
          <w:p>
            <w:pPr>
              <w:spacing w:after="0"/>
            </w:pPr>
            <w:r>
              <w:rPr>
                <w:rFonts w:ascii="Arial" w:cs="Arial" w:eastAsia="Arial" w:hAnsi="Arial"/>
                <w:sz w:val="20"/>
                <w:szCs w:val="20"/>
              </w:rPr>
              <w:t xml:space="preserve">enum</w:t>
            </w:r>
          </w:p>
        </w:tc>
        <w:tc>
          <w:tcPr>
            <w:tcW w:type="dxa" w:w="5160"/>
            <w:tcBorders>
              <w:top w:val="single" w:color="BFBFBF" w:sz="6"/>
              <w:left w:val="single" w:color="BFBFBF" w:sz="6"/>
              <w:bottom w:val="single" w:color="BFBFBF" w:sz="6"/>
              <w:right w:val="single" w:color="BFBFBF" w:sz="6"/>
            </w:tcBorders>
            <w:tcMar>
              <w:top w:type="dxa" w:w="90"/>
              <w:left w:type="dxa" w:w="140"/>
              <w:bottom w:type="dxa" w:w="90"/>
              <w:right w:type="dxa" w:w="140"/>
            </w:tcMar>
          </w:tcPr>
          <w:p>
            <w:pPr>
              <w:spacing w:after="0"/>
            </w:pPr>
            <w:r>
              <w:rPr>
                <w:rFonts w:ascii="Arial" w:cs="Arial" w:eastAsia="Arial" w:hAnsi="Arial"/>
                <w:sz w:val="20"/>
                <w:szCs w:val="20"/>
              </w:rPr>
              <w:t xml:space="preserve">INR_lakhs</w:t>
            </w:r>
          </w:p>
        </w:tc>
      </w:tr>
      <w:tr>
        <w:tc>
          <w:tcPr>
            <w:tcW w:type="dxa" w:w="2400"/>
            <w:tcBorders>
              <w:top w:val="single" w:color="BFBFBF" w:sz="6"/>
              <w:left w:val="single" w:color="BFBFBF" w:sz="6"/>
              <w:bottom w:val="single" w:color="BFBFBF" w:sz="6"/>
              <w:right w:val="single" w:color="BFBFBF" w:sz="6"/>
            </w:tcBorders>
            <w:shd w:fill="F2F2F2" w:val="clear"/>
            <w:tcMar>
              <w:top w:type="dxa" w:w="90"/>
              <w:left w:type="dxa" w:w="140"/>
              <w:bottom w:type="dxa" w:w="90"/>
              <w:right w:type="dxa" w:w="140"/>
            </w:tcMar>
          </w:tcPr>
          <w:p>
            <w:pPr>
              <w:spacing w:after="0"/>
            </w:pPr>
            <w:r>
              <w:rPr>
                <w:rFonts w:ascii="Arial" w:cs="Arial" w:eastAsia="Arial" w:hAnsi="Arial"/>
                <w:sz w:val="20"/>
                <w:szCs w:val="20"/>
              </w:rPr>
              <w:t xml:space="preserve">transformation</w:t>
            </w:r>
          </w:p>
        </w:tc>
        <w:tc>
          <w:tcPr>
            <w:tcW w:type="dxa" w:w="1800"/>
            <w:tcBorders>
              <w:top w:val="single" w:color="BFBFBF" w:sz="6"/>
              <w:left w:val="single" w:color="BFBFBF" w:sz="6"/>
              <w:bottom w:val="single" w:color="BFBFBF" w:sz="6"/>
              <w:right w:val="single" w:color="BFBFBF" w:sz="6"/>
            </w:tcBorders>
            <w:shd w:fill="F2F2F2" w:val="clear"/>
            <w:tcMar>
              <w:top w:type="dxa" w:w="90"/>
              <w:left w:type="dxa" w:w="140"/>
              <w:bottom w:type="dxa" w:w="90"/>
              <w:right w:type="dxa" w:w="140"/>
            </w:tcMar>
          </w:tcPr>
          <w:p>
            <w:pPr>
              <w:spacing w:after="0"/>
            </w:pPr>
            <w:r>
              <w:rPr>
                <w:rFonts w:ascii="Arial" w:cs="Arial" w:eastAsia="Arial" w:hAnsi="Arial"/>
                <w:sz w:val="20"/>
                <w:szCs w:val="20"/>
              </w:rPr>
              <w:t xml:space="preserve">string</w:t>
            </w:r>
          </w:p>
        </w:tc>
        <w:tc>
          <w:tcPr>
            <w:tcW w:type="dxa" w:w="5160"/>
            <w:tcBorders>
              <w:top w:val="single" w:color="BFBFBF" w:sz="6"/>
              <w:left w:val="single" w:color="BFBFBF" w:sz="6"/>
              <w:bottom w:val="single" w:color="BFBFBF" w:sz="6"/>
              <w:right w:val="single" w:color="BFBFBF" w:sz="6"/>
            </w:tcBorders>
            <w:shd w:fill="F2F2F2" w:val="clear"/>
            <w:tcMar>
              <w:top w:type="dxa" w:w="90"/>
              <w:left w:type="dxa" w:w="140"/>
              <w:bottom w:type="dxa" w:w="90"/>
              <w:right w:type="dxa" w:w="140"/>
            </w:tcMar>
          </w:tcPr>
          <w:p>
            <w:pPr>
              <w:spacing w:after="0"/>
            </w:pPr>
            <w:r>
              <w:rPr>
                <w:rFonts w:ascii="Arial" w:cs="Arial" w:eastAsia="Arial" w:hAnsi="Arial"/>
                <w:sz w:val="20"/>
                <w:szCs w:val="20"/>
              </w:rPr>
              <w:t xml:space="preserve">divide by 100000 per sheet footnote</w:t>
            </w:r>
          </w:p>
        </w:tc>
      </w:tr>
      <w:tr>
        <w:tc>
          <w:tcPr>
            <w:tcW w:type="dxa" w:w="2400"/>
            <w:tcBorders>
              <w:top w:val="single" w:color="BFBFBF" w:sz="6"/>
              <w:left w:val="single" w:color="BFBFBF" w:sz="6"/>
              <w:bottom w:val="single" w:color="BFBFBF" w:sz="6"/>
              <w:right w:val="single" w:color="BFBFBF" w:sz="6"/>
            </w:tcBorders>
            <w:tcMar>
              <w:top w:type="dxa" w:w="90"/>
              <w:left w:type="dxa" w:w="140"/>
              <w:bottom w:type="dxa" w:w="90"/>
              <w:right w:type="dxa" w:w="140"/>
            </w:tcMar>
          </w:tcPr>
          <w:p>
            <w:pPr>
              <w:spacing w:after="0"/>
            </w:pPr>
            <w:r>
              <w:rPr>
                <w:rFonts w:ascii="Arial" w:cs="Arial" w:eastAsia="Arial" w:hAnsi="Arial"/>
                <w:sz w:val="20"/>
                <w:szCs w:val="20"/>
              </w:rPr>
              <w:t xml:space="preserve">mapping_proposed_by</w:t>
            </w:r>
          </w:p>
        </w:tc>
        <w:tc>
          <w:tcPr>
            <w:tcW w:type="dxa" w:w="1800"/>
            <w:tcBorders>
              <w:top w:val="single" w:color="BFBFBF" w:sz="6"/>
              <w:left w:val="single" w:color="BFBFBF" w:sz="6"/>
              <w:bottom w:val="single" w:color="BFBFBF" w:sz="6"/>
              <w:right w:val="single" w:color="BFBFBF" w:sz="6"/>
            </w:tcBorders>
            <w:tcMar>
              <w:top w:type="dxa" w:w="90"/>
              <w:left w:type="dxa" w:w="140"/>
              <w:bottom w:type="dxa" w:w="90"/>
              <w:right w:type="dxa" w:w="140"/>
            </w:tcMar>
          </w:tcPr>
          <w:p>
            <w:pPr>
              <w:spacing w:after="0"/>
            </w:pPr>
            <w:r>
              <w:rPr>
                <w:rFonts w:ascii="Arial" w:cs="Arial" w:eastAsia="Arial" w:hAnsi="Arial"/>
                <w:sz w:val="20"/>
                <w:szCs w:val="20"/>
              </w:rPr>
              <w:t xml:space="preserve">enum</w:t>
            </w:r>
          </w:p>
        </w:tc>
        <w:tc>
          <w:tcPr>
            <w:tcW w:type="dxa" w:w="5160"/>
            <w:tcBorders>
              <w:top w:val="single" w:color="BFBFBF" w:sz="6"/>
              <w:left w:val="single" w:color="BFBFBF" w:sz="6"/>
              <w:bottom w:val="single" w:color="BFBFBF" w:sz="6"/>
              <w:right w:val="single" w:color="BFBFBF" w:sz="6"/>
            </w:tcBorders>
            <w:tcMar>
              <w:top w:type="dxa" w:w="90"/>
              <w:left w:type="dxa" w:w="140"/>
              <w:bottom w:type="dxa" w:w="90"/>
              <w:right w:type="dxa" w:w="140"/>
            </w:tcMar>
          </w:tcPr>
          <w:p>
            <w:pPr>
              <w:spacing w:after="0"/>
            </w:pPr>
            <w:r>
              <w:rPr>
                <w:rFonts w:ascii="Arial" w:cs="Arial" w:eastAsia="Arial" w:hAnsi="Arial"/>
                <w:sz w:val="20"/>
                <w:szCs w:val="20"/>
              </w:rPr>
              <w:t xml:space="preserve">schema_mapper_llm</w:t>
            </w:r>
          </w:p>
        </w:tc>
      </w:tr>
      <w:tr>
        <w:tc>
          <w:tcPr>
            <w:tcW w:type="dxa" w:w="2400"/>
            <w:tcBorders>
              <w:top w:val="single" w:color="BFBFBF" w:sz="6"/>
              <w:left w:val="single" w:color="BFBFBF" w:sz="6"/>
              <w:bottom w:val="single" w:color="BFBFBF" w:sz="6"/>
              <w:right w:val="single" w:color="BFBFBF" w:sz="6"/>
            </w:tcBorders>
            <w:shd w:fill="F2F2F2" w:val="clear"/>
            <w:tcMar>
              <w:top w:type="dxa" w:w="90"/>
              <w:left w:type="dxa" w:w="140"/>
              <w:bottom w:type="dxa" w:w="90"/>
              <w:right w:type="dxa" w:w="140"/>
            </w:tcMar>
          </w:tcPr>
          <w:p>
            <w:pPr>
              <w:spacing w:after="0"/>
            </w:pPr>
            <w:r>
              <w:rPr>
                <w:rFonts w:ascii="Arial" w:cs="Arial" w:eastAsia="Arial" w:hAnsi="Arial"/>
                <w:sz w:val="20"/>
                <w:szCs w:val="20"/>
              </w:rPr>
              <w:t xml:space="preserve">mapping_approved_by</w:t>
            </w:r>
          </w:p>
        </w:tc>
        <w:tc>
          <w:tcPr>
            <w:tcW w:type="dxa" w:w="1800"/>
            <w:tcBorders>
              <w:top w:val="single" w:color="BFBFBF" w:sz="6"/>
              <w:left w:val="single" w:color="BFBFBF" w:sz="6"/>
              <w:bottom w:val="single" w:color="BFBFBF" w:sz="6"/>
              <w:right w:val="single" w:color="BFBFBF" w:sz="6"/>
            </w:tcBorders>
            <w:shd w:fill="F2F2F2" w:val="clear"/>
            <w:tcMar>
              <w:top w:type="dxa" w:w="90"/>
              <w:left w:type="dxa" w:w="140"/>
              <w:bottom w:type="dxa" w:w="90"/>
              <w:right w:type="dxa" w:w="140"/>
            </w:tcMar>
          </w:tcPr>
          <w:p>
            <w:pPr>
              <w:spacing w:after="0"/>
            </w:pPr>
            <w:r>
              <w:rPr>
                <w:rFonts w:ascii="Arial" w:cs="Arial" w:eastAsia="Arial" w:hAnsi="Arial"/>
                <w:sz w:val="20"/>
                <w:szCs w:val="20"/>
              </w:rPr>
              <w:t xml:space="preserve">string</w:t>
            </w:r>
          </w:p>
        </w:tc>
        <w:tc>
          <w:tcPr>
            <w:tcW w:type="dxa" w:w="5160"/>
            <w:tcBorders>
              <w:top w:val="single" w:color="BFBFBF" w:sz="6"/>
              <w:left w:val="single" w:color="BFBFBF" w:sz="6"/>
              <w:bottom w:val="single" w:color="BFBFBF" w:sz="6"/>
              <w:right w:val="single" w:color="BFBFBF" w:sz="6"/>
            </w:tcBorders>
            <w:shd w:fill="F2F2F2" w:val="clear"/>
            <w:tcMar>
              <w:top w:type="dxa" w:w="90"/>
              <w:left w:type="dxa" w:w="140"/>
              <w:bottom w:type="dxa" w:w="90"/>
              <w:right w:type="dxa" w:w="140"/>
            </w:tcMar>
          </w:tcPr>
          <w:p>
            <w:pPr>
              <w:spacing w:after="0"/>
            </w:pPr>
            <w:r>
              <w:rPr>
                <w:rFonts w:ascii="Arial" w:cs="Arial" w:eastAsia="Arial" w:hAnsi="Arial"/>
                <w:sz w:val="20"/>
                <w:szCs w:val="20"/>
              </w:rPr>
              <w:t xml:space="preserve">user@firm.com</w:t>
            </w:r>
          </w:p>
        </w:tc>
      </w:tr>
      <w:tr>
        <w:tc>
          <w:tcPr>
            <w:tcW w:type="dxa" w:w="2400"/>
            <w:tcBorders>
              <w:top w:val="single" w:color="BFBFBF" w:sz="6"/>
              <w:left w:val="single" w:color="BFBFBF" w:sz="6"/>
              <w:bottom w:val="single" w:color="BFBFBF" w:sz="6"/>
              <w:right w:val="single" w:color="BFBFBF" w:sz="6"/>
            </w:tcBorders>
            <w:tcMar>
              <w:top w:type="dxa" w:w="90"/>
              <w:left w:type="dxa" w:w="140"/>
              <w:bottom w:type="dxa" w:w="90"/>
              <w:right w:type="dxa" w:w="140"/>
            </w:tcMar>
          </w:tcPr>
          <w:p>
            <w:pPr>
              <w:spacing w:after="0"/>
            </w:pPr>
            <w:r>
              <w:rPr>
                <w:rFonts w:ascii="Arial" w:cs="Arial" w:eastAsia="Arial" w:hAnsi="Arial"/>
                <w:sz w:val="20"/>
                <w:szCs w:val="20"/>
              </w:rPr>
              <w:t xml:space="preserve">ingested_at</w:t>
            </w:r>
          </w:p>
        </w:tc>
        <w:tc>
          <w:tcPr>
            <w:tcW w:type="dxa" w:w="1800"/>
            <w:tcBorders>
              <w:top w:val="single" w:color="BFBFBF" w:sz="6"/>
              <w:left w:val="single" w:color="BFBFBF" w:sz="6"/>
              <w:bottom w:val="single" w:color="BFBFBF" w:sz="6"/>
              <w:right w:val="single" w:color="BFBFBF" w:sz="6"/>
            </w:tcBorders>
            <w:tcMar>
              <w:top w:type="dxa" w:w="90"/>
              <w:left w:type="dxa" w:w="140"/>
              <w:bottom w:type="dxa" w:w="90"/>
              <w:right w:type="dxa" w:w="140"/>
            </w:tcMar>
          </w:tcPr>
          <w:p>
            <w:pPr>
              <w:spacing w:after="0"/>
            </w:pPr>
            <w:r>
              <w:rPr>
                <w:rFonts w:ascii="Arial" w:cs="Arial" w:eastAsia="Arial" w:hAnsi="Arial"/>
                <w:sz w:val="20"/>
                <w:szCs w:val="20"/>
              </w:rPr>
              <w:t xml:space="preserve">timestamp</w:t>
            </w:r>
          </w:p>
        </w:tc>
        <w:tc>
          <w:tcPr>
            <w:tcW w:type="dxa" w:w="5160"/>
            <w:tcBorders>
              <w:top w:val="single" w:color="BFBFBF" w:sz="6"/>
              <w:left w:val="single" w:color="BFBFBF" w:sz="6"/>
              <w:bottom w:val="single" w:color="BFBFBF" w:sz="6"/>
              <w:right w:val="single" w:color="BFBFBF" w:sz="6"/>
            </w:tcBorders>
            <w:tcMar>
              <w:top w:type="dxa" w:w="90"/>
              <w:left w:type="dxa" w:w="140"/>
              <w:bottom w:type="dxa" w:w="90"/>
              <w:right w:type="dxa" w:w="140"/>
            </w:tcMar>
          </w:tcPr>
          <w:p>
            <w:pPr>
              <w:spacing w:after="0"/>
            </w:pPr>
            <w:r>
              <w:rPr>
                <w:rFonts w:ascii="Arial" w:cs="Arial" w:eastAsia="Arial" w:hAnsi="Arial"/>
                <w:sz w:val="20"/>
                <w:szCs w:val="20"/>
              </w:rPr>
              <w:t xml:space="preserve">2025-04-15T10:31:22Z</w:t>
            </w:r>
          </w:p>
        </w:tc>
      </w:tr>
      <w:tr>
        <w:tc>
          <w:tcPr>
            <w:tcW w:type="dxa" w:w="2400"/>
            <w:tcBorders>
              <w:top w:val="single" w:color="BFBFBF" w:sz="6"/>
              <w:left w:val="single" w:color="BFBFBF" w:sz="6"/>
              <w:bottom w:val="single" w:color="BFBFBF" w:sz="6"/>
              <w:right w:val="single" w:color="BFBFBF" w:sz="6"/>
            </w:tcBorders>
            <w:shd w:fill="F2F2F2" w:val="clear"/>
            <w:tcMar>
              <w:top w:type="dxa" w:w="90"/>
              <w:left w:type="dxa" w:w="140"/>
              <w:bottom w:type="dxa" w:w="90"/>
              <w:right w:type="dxa" w:w="140"/>
            </w:tcMar>
          </w:tcPr>
          <w:p>
            <w:pPr>
              <w:spacing w:after="0"/>
            </w:pPr>
            <w:r>
              <w:rPr>
                <w:rFonts w:ascii="Arial" w:cs="Arial" w:eastAsia="Arial" w:hAnsi="Arial"/>
                <w:sz w:val="20"/>
                <w:szCs w:val="20"/>
              </w:rPr>
              <w:t xml:space="preserve">confidence</w:t>
            </w:r>
          </w:p>
        </w:tc>
        <w:tc>
          <w:tcPr>
            <w:tcW w:type="dxa" w:w="1800"/>
            <w:tcBorders>
              <w:top w:val="single" w:color="BFBFBF" w:sz="6"/>
              <w:left w:val="single" w:color="BFBFBF" w:sz="6"/>
              <w:bottom w:val="single" w:color="BFBFBF" w:sz="6"/>
              <w:right w:val="single" w:color="BFBFBF" w:sz="6"/>
            </w:tcBorders>
            <w:shd w:fill="F2F2F2" w:val="clear"/>
            <w:tcMar>
              <w:top w:type="dxa" w:w="90"/>
              <w:left w:type="dxa" w:w="140"/>
              <w:bottom w:type="dxa" w:w="90"/>
              <w:right w:type="dxa" w:w="140"/>
            </w:tcMar>
          </w:tcPr>
          <w:p>
            <w:pPr>
              <w:spacing w:after="0"/>
            </w:pPr>
            <w:r>
              <w:rPr>
                <w:rFonts w:ascii="Arial" w:cs="Arial" w:eastAsia="Arial" w:hAnsi="Arial"/>
                <w:sz w:val="20"/>
                <w:szCs w:val="20"/>
              </w:rPr>
              <w:t xml:space="preserve">enum</w:t>
            </w:r>
          </w:p>
        </w:tc>
        <w:tc>
          <w:tcPr>
            <w:tcW w:type="dxa" w:w="5160"/>
            <w:tcBorders>
              <w:top w:val="single" w:color="BFBFBF" w:sz="6"/>
              <w:left w:val="single" w:color="BFBFBF" w:sz="6"/>
              <w:bottom w:val="single" w:color="BFBFBF" w:sz="6"/>
              <w:right w:val="single" w:color="BFBFBF" w:sz="6"/>
            </w:tcBorders>
            <w:shd w:fill="F2F2F2" w:val="clear"/>
            <w:tcMar>
              <w:top w:type="dxa" w:w="90"/>
              <w:left w:type="dxa" w:w="140"/>
              <w:bottom w:type="dxa" w:w="90"/>
              <w:right w:type="dxa" w:w="140"/>
            </w:tcMar>
          </w:tcPr>
          <w:p>
            <w:pPr>
              <w:spacing w:after="0"/>
            </w:pPr>
            <w:r>
              <w:rPr>
                <w:rFonts w:ascii="Arial" w:cs="Arial" w:eastAsia="Arial" w:hAnsi="Arial"/>
                <w:sz w:val="20"/>
                <w:szCs w:val="20"/>
              </w:rPr>
              <w:t xml:space="preserve">high / medium / low</w:t>
            </w:r>
          </w:p>
        </w:tc>
      </w:tr>
      <w:tr>
        <w:tc>
          <w:tcPr>
            <w:tcW w:type="dxa" w:w="2400"/>
            <w:tcBorders>
              <w:top w:val="single" w:color="BFBFBF" w:sz="6"/>
              <w:left w:val="single" w:color="BFBFBF" w:sz="6"/>
              <w:bottom w:val="single" w:color="BFBFBF" w:sz="6"/>
              <w:right w:val="single" w:color="BFBFBF" w:sz="6"/>
            </w:tcBorders>
            <w:tcMar>
              <w:top w:type="dxa" w:w="90"/>
              <w:left w:type="dxa" w:w="140"/>
              <w:bottom w:type="dxa" w:w="90"/>
              <w:right w:type="dxa" w:w="140"/>
            </w:tcMar>
          </w:tcPr>
          <w:p>
            <w:pPr>
              <w:spacing w:after="0"/>
            </w:pPr>
            <w:r>
              <w:rPr>
                <w:rFonts w:ascii="Arial" w:cs="Arial" w:eastAsia="Arial" w:hAnsi="Arial"/>
                <w:sz w:val="20"/>
                <w:szCs w:val="20"/>
              </w:rPr>
              <w:t xml:space="preserve">conflicts_with</w:t>
            </w:r>
          </w:p>
        </w:tc>
        <w:tc>
          <w:tcPr>
            <w:tcW w:type="dxa" w:w="1800"/>
            <w:tcBorders>
              <w:top w:val="single" w:color="BFBFBF" w:sz="6"/>
              <w:left w:val="single" w:color="BFBFBF" w:sz="6"/>
              <w:bottom w:val="single" w:color="BFBFBF" w:sz="6"/>
              <w:right w:val="single" w:color="BFBFBF" w:sz="6"/>
            </w:tcBorders>
            <w:tcMar>
              <w:top w:type="dxa" w:w="90"/>
              <w:left w:type="dxa" w:w="140"/>
              <w:bottom w:type="dxa" w:w="90"/>
              <w:right w:type="dxa" w:w="140"/>
            </w:tcMar>
          </w:tcPr>
          <w:p>
            <w:pPr>
              <w:spacing w:after="0"/>
            </w:pPr>
            <w:r>
              <w:rPr>
                <w:rFonts w:ascii="Arial" w:cs="Arial" w:eastAsia="Arial" w:hAnsi="Arial"/>
                <w:sz w:val="20"/>
                <w:szCs w:val="20"/>
              </w:rPr>
              <w:t xml:space="preserve">array&lt;citation_id&gt;</w:t>
            </w:r>
          </w:p>
        </w:tc>
        <w:tc>
          <w:tcPr>
            <w:tcW w:type="dxa" w:w="5160"/>
            <w:tcBorders>
              <w:top w:val="single" w:color="BFBFBF" w:sz="6"/>
              <w:left w:val="single" w:color="BFBFBF" w:sz="6"/>
              <w:bottom w:val="single" w:color="BFBFBF" w:sz="6"/>
              <w:right w:val="single" w:color="BFBFBF" w:sz="6"/>
            </w:tcBorders>
            <w:tcMar>
              <w:top w:type="dxa" w:w="90"/>
              <w:left w:type="dxa" w:w="140"/>
              <w:bottom w:type="dxa" w:w="90"/>
              <w:right w:type="dxa" w:w="140"/>
            </w:tcMar>
          </w:tcPr>
          <w:p>
            <w:pPr>
              <w:spacing w:after="0"/>
            </w:pPr>
            <w:r>
              <w:rPr>
                <w:rFonts w:ascii="Arial" w:cs="Arial" w:eastAsia="Arial" w:hAnsi="Arial"/>
                <w:sz w:val="20"/>
                <w:szCs w:val="20"/>
              </w:rPr>
              <w:t xml:space="preserve">[c_4471]</w:t>
            </w:r>
          </w:p>
        </w:tc>
      </w:tr>
    </w:tbl>
    <w:p>
      <w:pPr>
        <w:spacing w:after="120"/>
      </w:pPr>
    </w:p>
    <w:p>
      <w:pPr>
        <w:pStyle w:val="Heading2"/>
        <w:spacing w:after="120" w:before="220"/>
      </w:pPr>
      <w:r>
        <w:rPr>
          <w:rFonts w:ascii="Arial" w:cs="Arial" w:eastAsia="Arial" w:hAnsi="Arial"/>
          <w:b/>
          <w:bCs/>
          <w:sz w:val="26"/>
          <w:szCs w:val="26"/>
        </w:rPr>
        <w:t xml:space="preserve">6.2 Why Cell-Level Granularity Matters</w:t>
      </w:r>
    </w:p>
    <w:p>
      <w:pPr>
        <w:spacing w:after="120" w:line="300"/>
      </w:pPr>
      <w:r>
        <w:rPr>
          <w:rFonts w:ascii="Arial" w:cs="Arial" w:eastAsia="Arial" w:hAnsi="Arial"/>
          <w:sz w:val="22"/>
          <w:szCs w:val="22"/>
        </w:rPr>
        <w:t xml:space="preserve">Sheet-level or row-level citations are not enough. In Sharma Textiles' Other Exp Detail sheet, two of fourteen rows are stored in absolute Rupees while the rest are in Lakhs, and the sheet's own "Total" cell is computed wrongly because it sums across mixed units. A citation at the cell level lets the system answer "Why does this number look strange?" with the actual transformation applied — not just the source file.</w:t>
      </w:r>
    </w:p>
    <w:p>
      <w:pPr>
        <w:pStyle w:val="Heading2"/>
        <w:spacing w:after="120" w:before="220"/>
      </w:pPr>
      <w:r>
        <w:rPr>
          <w:rFonts w:ascii="Arial" w:cs="Arial" w:eastAsia="Arial" w:hAnsi="Arial"/>
          <w:b/>
          <w:bCs/>
          <w:sz w:val="26"/>
          <w:szCs w:val="26"/>
        </w:rPr>
        <w:t xml:space="preserve">6.3 Lineage for Derived Metrics</w:t>
      </w:r>
    </w:p>
    <w:p>
      <w:pPr>
        <w:spacing w:after="120" w:line="300"/>
      </w:pPr>
      <w:r>
        <w:rPr>
          <w:rFonts w:ascii="Arial" w:cs="Arial" w:eastAsia="Arial" w:hAnsi="Arial"/>
          <w:sz w:val="22"/>
          <w:szCs w:val="22"/>
        </w:rPr>
        <w:t xml:space="preserve">Derived metrics (Gross Margin %, EBITDA, CAGR) carry composite citations: a list of input citations plus the deterministic formula applied. EBITDA is never "from the LLM." It is always "= Operating Income + D&amp;A, sourced from cells X and Y, formula version v1."</w:t>
      </w:r>
    </w:p>
    <w:p>
      <w:pPr>
        <w:pStyle w:val="Heading1"/>
        <w:spacing w:after="160" w:before="280"/>
      </w:pPr>
      <w:r>
        <w:rPr>
          <w:rFonts w:ascii="Arial" w:cs="Arial" w:eastAsia="Arial" w:hAnsi="Arial"/>
          <w:b/>
          <w:bCs/>
          <w:sz w:val="32"/>
          <w:szCs w:val="32"/>
        </w:rPr>
        <w:t xml:space="preserve">7. Ambiguity Surface UX (Chat-Native — REWRITTEN in v1.2)</w:t>
      </w:r>
    </w:p>
    <w:p>
      <w:pPr>
        <w:pBdr>
          <w:top w:val="single" w:color="E8D285" w:sz="4" w:space="4"/>
          <w:left w:val="single" w:color="C9A227" w:sz="18" w:space="6"/>
          <w:bottom w:val="single" w:color="E8D285" w:sz="4" w:space="4"/>
          <w:right w:val="single" w:color="E8D285" w:sz="4" w:space="4"/>
        </w:pBdr>
        <w:shd w:fill="FFF4CE" w:val="clear"/>
        <w:spacing w:after="140" w:before="100" w:line="300"/>
      </w:pPr>
      <w:r>
        <w:rPr>
          <w:rFonts w:ascii="Arial" w:cs="Arial" w:eastAsia="Arial" w:hAnsi="Arial"/>
          <w:b/>
          <w:bCs/>
          <w:color w:val="8A6D11"/>
          <w:sz w:val="20"/>
          <w:szCs w:val="20"/>
        </w:rPr>
        <w:t xml:space="preserve">REVISION v1.1 — </w:t>
      </w:r>
      <w:r>
        <w:rPr>
          <w:rFonts w:ascii="Arial" w:cs="Arial" w:eastAsia="Arial" w:hAnsi="Arial"/>
          <w:color w:val="3D2F00"/>
          <w:sz w:val="20"/>
          <w:szCs w:val="20"/>
        </w:rPr>
        <w:t xml:space="preserve">v1.1 framed this as a separate Ingestion Review screen. That worked for technical analysts but not for the chatbot product targeted at non-technical users.</w:t>
      </w:r>
    </w:p>
    <w:p>
      <w:pPr>
        <w:pBdr>
          <w:top w:val="single" w:color="F4B084" w:sz="4" w:space="4"/>
          <w:left w:val="single" w:color="C65911" w:sz="18" w:space="6"/>
          <w:bottom w:val="single" w:color="F4B084" w:sz="4" w:space="4"/>
          <w:right w:val="single" w:color="F4B084" w:sz="4" w:space="4"/>
        </w:pBdr>
        <w:shd w:fill="FCE4D6" w:val="clear"/>
        <w:spacing w:after="140" w:before="100" w:line="300"/>
      </w:pPr>
      <w:r>
        <w:rPr>
          <w:rFonts w:ascii="Arial" w:cs="Arial" w:eastAsia="Arial" w:hAnsi="Arial"/>
          <w:b/>
          <w:bCs/>
          <w:color w:val="C65911"/>
          <w:sz w:val="20"/>
          <w:szCs w:val="20"/>
        </w:rPr>
        <w:t xml:space="preserve">REVISION v1.2 — </w:t>
      </w:r>
      <w:r>
        <w:rPr>
          <w:rFonts w:ascii="Arial" w:cs="Arial" w:eastAsia="Arial" w:hAnsi="Arial"/>
          <w:color w:val="5A2A0A"/>
          <w:sz w:val="20"/>
          <w:szCs w:val="20"/>
        </w:rPr>
        <w:t xml:space="preserve">v1.2 replaces the review screen with an Onboarding Conversation: the bot's first chat message after a file is uploaded. The bot opens the conversation by describing every interpretation decision it made, then asks blocking questions for any genuine cross-source conflict. The user resolves conflicts in chat (with their answer locked in for the rest of the session) and acknowledges the rest. Only after acknowledgment do facts become queryable. This preserves v1.1's audit trail and approval gating while making the experience accessible to a non-technical user.</w:t>
      </w:r>
    </w:p>
    <w:p>
      <w:pPr>
        <w:pStyle w:val="Heading2"/>
        <w:spacing w:after="120" w:before="220"/>
      </w:pPr>
      <w:r>
        <w:rPr>
          <w:rFonts w:ascii="Arial" w:cs="Arial" w:eastAsia="Arial" w:hAnsi="Arial"/>
          <w:b/>
          <w:bCs/>
          <w:sz w:val="26"/>
          <w:szCs w:val="26"/>
        </w:rPr>
        <w:t xml:space="preserve">7.1 Onboarding Message — Required Sections</w:t>
      </w:r>
    </w:p>
    <w:p>
      <w:pPr>
        <w:spacing w:after="120" w:line="300"/>
      </w:pPr>
      <w:r>
        <w:rPr>
          <w:rFonts w:ascii="Arial" w:cs="Arial" w:eastAsia="Arial" w:hAnsi="Arial"/>
          <w:sz w:val="22"/>
          <w:szCs w:val="22"/>
        </w:rPr>
        <w:t xml:space="preserve">Every uploaded file produces an onboarding message with the following sections in order. The message is plain language, not technical jargon, but every claim it makes carries an underlying citation envelope that the user can expand.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4400"/>
        <w:gridCol w:w="1960"/>
      </w:tblGrid>
      <w:tr>
        <w:trPr>
          <w:tblHeader/>
        </w:trPr>
        <w:tc>
          <w:tcPr>
            <w:tcW w:type="dxa" w:w="600"/>
            <w:tcBorders>
              <w:top w:val="single" w:color="BFBFBF" w:sz="6"/>
              <w:left w:val="single" w:color="BFBFBF" w:sz="6"/>
              <w:bottom w:val="single" w:color="BFBFBF" w:sz="6"/>
              <w:right w:val="single" w:color="BFBFBF" w:sz="6"/>
            </w:tcBorders>
            <w:shd w:fill="1F3864" w:val="clear"/>
            <w:tcMar>
              <w:top w:type="dxa" w:w="100"/>
              <w:left w:type="dxa" w:w="140"/>
              <w:bottom w:type="dxa" w:w="100"/>
              <w:right w:type="dxa" w:w="140"/>
            </w:tcMar>
          </w:tcPr>
          <w:p>
            <w:pPr>
              <w:spacing w:after="0"/>
            </w:pPr>
            <w:r>
              <w:rPr>
                <w:rFonts w:ascii="Arial" w:cs="Arial" w:eastAsia="Arial" w:hAnsi="Arial"/>
                <w:b/>
                <w:bCs/>
                <w:color w:val="FFFFFF"/>
                <w:sz w:val="21"/>
                <w:szCs w:val="21"/>
              </w:rPr>
              <w:t xml:space="preserve">#</w:t>
            </w:r>
          </w:p>
        </w:tc>
        <w:tc>
          <w:tcPr>
            <w:tcW w:type="dxa" w:w="2400"/>
            <w:tcBorders>
              <w:top w:val="single" w:color="BFBFBF" w:sz="6"/>
              <w:left w:val="single" w:color="BFBFBF" w:sz="6"/>
              <w:bottom w:val="single" w:color="BFBFBF" w:sz="6"/>
              <w:right w:val="single" w:color="BFBFBF" w:sz="6"/>
            </w:tcBorders>
            <w:shd w:fill="1F3864" w:val="clear"/>
            <w:tcMar>
              <w:top w:type="dxa" w:w="100"/>
              <w:left w:type="dxa" w:w="140"/>
              <w:bottom w:type="dxa" w:w="100"/>
              <w:right w:type="dxa" w:w="140"/>
            </w:tcMar>
          </w:tcPr>
          <w:p>
            <w:pPr>
              <w:spacing w:after="0"/>
            </w:pPr>
            <w:r>
              <w:rPr>
                <w:rFonts w:ascii="Arial" w:cs="Arial" w:eastAsia="Arial" w:hAnsi="Arial"/>
                <w:b/>
                <w:bCs/>
                <w:color w:val="FFFFFF"/>
                <w:sz w:val="21"/>
                <w:szCs w:val="21"/>
              </w:rPr>
              <w:t xml:space="preserve">Section</w:t>
            </w:r>
          </w:p>
        </w:tc>
        <w:tc>
          <w:tcPr>
            <w:tcW w:type="dxa" w:w="4400"/>
            <w:tcBorders>
              <w:top w:val="single" w:color="BFBFBF" w:sz="6"/>
              <w:left w:val="single" w:color="BFBFBF" w:sz="6"/>
              <w:bottom w:val="single" w:color="BFBFBF" w:sz="6"/>
              <w:right w:val="single" w:color="BFBFBF" w:sz="6"/>
            </w:tcBorders>
            <w:shd w:fill="1F3864" w:val="clear"/>
            <w:tcMar>
              <w:top w:type="dxa" w:w="100"/>
              <w:left w:type="dxa" w:w="140"/>
              <w:bottom w:type="dxa" w:w="100"/>
              <w:right w:type="dxa" w:w="140"/>
            </w:tcMar>
          </w:tcPr>
          <w:p>
            <w:pPr>
              <w:spacing w:after="0"/>
            </w:pPr>
            <w:r>
              <w:rPr>
                <w:rFonts w:ascii="Arial" w:cs="Arial" w:eastAsia="Arial" w:hAnsi="Arial"/>
                <w:b/>
                <w:bCs/>
                <w:color w:val="FFFFFF"/>
                <w:sz w:val="21"/>
                <w:szCs w:val="21"/>
              </w:rPr>
              <w:t xml:space="preserve">Purpose</w:t>
            </w:r>
          </w:p>
        </w:tc>
        <w:tc>
          <w:tcPr>
            <w:tcW w:type="dxa" w:w="1960"/>
            <w:tcBorders>
              <w:top w:val="single" w:color="BFBFBF" w:sz="6"/>
              <w:left w:val="single" w:color="BFBFBF" w:sz="6"/>
              <w:bottom w:val="single" w:color="BFBFBF" w:sz="6"/>
              <w:right w:val="single" w:color="BFBFBF" w:sz="6"/>
            </w:tcBorders>
            <w:shd w:fill="1F3864" w:val="clear"/>
            <w:tcMar>
              <w:top w:type="dxa" w:w="100"/>
              <w:left w:type="dxa" w:w="140"/>
              <w:bottom w:type="dxa" w:w="100"/>
              <w:right w:type="dxa" w:w="140"/>
            </w:tcMar>
          </w:tcPr>
          <w:p>
            <w:pPr>
              <w:spacing w:after="0"/>
            </w:pPr>
            <w:r>
              <w:rPr>
                <w:rFonts w:ascii="Arial" w:cs="Arial" w:eastAsia="Arial" w:hAnsi="Arial"/>
                <w:b/>
                <w:bCs/>
                <w:color w:val="FFFFFF"/>
                <w:sz w:val="21"/>
                <w:szCs w:val="21"/>
              </w:rPr>
              <w:t xml:space="preserve">User action</w:t>
            </w:r>
          </w:p>
        </w:tc>
      </w:tr>
      <w:tr>
        <w:tc>
          <w:tcPr>
            <w:tcW w:type="dxa" w:w="600"/>
            <w:tcBorders>
              <w:top w:val="single" w:color="BFBFBF" w:sz="6"/>
              <w:left w:val="single" w:color="BFBFBF" w:sz="6"/>
              <w:bottom w:val="single" w:color="BFBFBF" w:sz="6"/>
              <w:right w:val="single" w:color="BFBFBF" w:sz="6"/>
            </w:tcBorders>
            <w:tcMar>
              <w:top w:type="dxa" w:w="90"/>
              <w:left w:type="dxa" w:w="140"/>
              <w:bottom w:type="dxa" w:w="90"/>
              <w:right w:type="dxa" w:w="140"/>
            </w:tcMar>
          </w:tcPr>
          <w:p>
            <w:pPr>
              <w:spacing w:after="0"/>
            </w:pPr>
            <w:r>
              <w:rPr>
                <w:rFonts w:ascii="Arial" w:cs="Arial" w:eastAsia="Arial" w:hAnsi="Arial"/>
                <w:sz w:val="20"/>
                <w:szCs w:val="20"/>
              </w:rPr>
              <w:t xml:space="preserve">1</w:t>
            </w:r>
          </w:p>
        </w:tc>
        <w:tc>
          <w:tcPr>
            <w:tcW w:type="dxa" w:w="2400"/>
            <w:tcBorders>
              <w:top w:val="single" w:color="BFBFBF" w:sz="6"/>
              <w:left w:val="single" w:color="BFBFBF" w:sz="6"/>
              <w:bottom w:val="single" w:color="BFBFBF" w:sz="6"/>
              <w:right w:val="single" w:color="BFBFBF" w:sz="6"/>
            </w:tcBorders>
            <w:tcMar>
              <w:top w:type="dxa" w:w="90"/>
              <w:left w:type="dxa" w:w="140"/>
              <w:bottom w:type="dxa" w:w="90"/>
              <w:right w:type="dxa" w:w="140"/>
            </w:tcMar>
          </w:tcPr>
          <w:p>
            <w:pPr>
              <w:spacing w:after="0"/>
            </w:pPr>
            <w:r>
              <w:rPr>
                <w:rFonts w:ascii="Arial" w:cs="Arial" w:eastAsia="Arial" w:hAnsi="Arial"/>
                <w:sz w:val="20"/>
                <w:szCs w:val="20"/>
              </w:rPr>
              <w:t xml:space="preserve">What I found</w:t>
            </w:r>
          </w:p>
        </w:tc>
        <w:tc>
          <w:tcPr>
            <w:tcW w:type="dxa" w:w="4400"/>
            <w:tcBorders>
              <w:top w:val="single" w:color="BFBFBF" w:sz="6"/>
              <w:left w:val="single" w:color="BFBFBF" w:sz="6"/>
              <w:bottom w:val="single" w:color="BFBFBF" w:sz="6"/>
              <w:right w:val="single" w:color="BFBFBF" w:sz="6"/>
            </w:tcBorders>
            <w:tcMar>
              <w:top w:type="dxa" w:w="90"/>
              <w:left w:type="dxa" w:w="140"/>
              <w:bottom w:type="dxa" w:w="90"/>
              <w:right w:type="dxa" w:w="140"/>
            </w:tcMar>
          </w:tcPr>
          <w:p>
            <w:pPr>
              <w:spacing w:after="0"/>
            </w:pPr>
            <w:r>
              <w:rPr>
                <w:rFonts w:ascii="Arial" w:cs="Arial" w:eastAsia="Arial" w:hAnsi="Arial"/>
                <w:sz w:val="20"/>
                <w:szCs w:val="20"/>
              </w:rPr>
              <w:t xml:space="preserve">Lists the file's detected sheets/regions and what type of content each contains (P&amp;L, balance sheet, customer list, narrative, KPI table).</w:t>
            </w:r>
          </w:p>
        </w:tc>
        <w:tc>
          <w:tcPr>
            <w:tcW w:type="dxa" w:w="1960"/>
            <w:tcBorders>
              <w:top w:val="single" w:color="BFBFBF" w:sz="6"/>
              <w:left w:val="single" w:color="BFBFBF" w:sz="6"/>
              <w:bottom w:val="single" w:color="BFBFBF" w:sz="6"/>
              <w:right w:val="single" w:color="BFBFBF" w:sz="6"/>
            </w:tcBorders>
            <w:tcMar>
              <w:top w:type="dxa" w:w="90"/>
              <w:left w:type="dxa" w:w="140"/>
              <w:bottom w:type="dxa" w:w="90"/>
              <w:right w:type="dxa" w:w="140"/>
            </w:tcMar>
          </w:tcPr>
          <w:p>
            <w:pPr>
              <w:spacing w:after="0"/>
            </w:pPr>
            <w:r>
              <w:rPr>
                <w:rFonts w:ascii="Arial" w:cs="Arial" w:eastAsia="Arial" w:hAnsi="Arial"/>
                <w:sz w:val="20"/>
                <w:szCs w:val="20"/>
              </w:rPr>
              <w:t xml:space="preserve">None — informational</w:t>
            </w:r>
          </w:p>
        </w:tc>
      </w:tr>
      <w:tr>
        <w:tc>
          <w:tcPr>
            <w:tcW w:type="dxa" w:w="600"/>
            <w:tcBorders>
              <w:top w:val="single" w:color="BFBFBF" w:sz="6"/>
              <w:left w:val="single" w:color="BFBFBF" w:sz="6"/>
              <w:bottom w:val="single" w:color="BFBFBF" w:sz="6"/>
              <w:right w:val="single" w:color="BFBFBF" w:sz="6"/>
            </w:tcBorders>
            <w:shd w:fill="F2F2F2" w:val="clear"/>
            <w:tcMar>
              <w:top w:type="dxa" w:w="90"/>
              <w:left w:type="dxa" w:w="140"/>
              <w:bottom w:type="dxa" w:w="90"/>
              <w:right w:type="dxa" w:w="140"/>
            </w:tcMar>
          </w:tcPr>
          <w:p>
            <w:pPr>
              <w:spacing w:after="0"/>
            </w:pPr>
            <w:r>
              <w:rPr>
                <w:rFonts w:ascii="Arial" w:cs="Arial" w:eastAsia="Arial" w:hAnsi="Arial"/>
                <w:sz w:val="20"/>
                <w:szCs w:val="20"/>
              </w:rPr>
              <w:t xml:space="preserve">2</w:t>
            </w:r>
          </w:p>
        </w:tc>
        <w:tc>
          <w:tcPr>
            <w:tcW w:type="dxa" w:w="2400"/>
            <w:tcBorders>
              <w:top w:val="single" w:color="BFBFBF" w:sz="6"/>
              <w:left w:val="single" w:color="BFBFBF" w:sz="6"/>
              <w:bottom w:val="single" w:color="BFBFBF" w:sz="6"/>
              <w:right w:val="single" w:color="BFBFBF" w:sz="6"/>
            </w:tcBorders>
            <w:shd w:fill="F2F2F2" w:val="clear"/>
            <w:tcMar>
              <w:top w:type="dxa" w:w="90"/>
              <w:left w:type="dxa" w:w="140"/>
              <w:bottom w:type="dxa" w:w="90"/>
              <w:right w:type="dxa" w:w="140"/>
            </w:tcMar>
          </w:tcPr>
          <w:p>
            <w:pPr>
              <w:spacing w:after="0"/>
            </w:pPr>
            <w:r>
              <w:rPr>
                <w:rFonts w:ascii="Arial" w:cs="Arial" w:eastAsia="Arial" w:hAnsi="Arial"/>
                <w:sz w:val="20"/>
                <w:szCs w:val="20"/>
              </w:rPr>
              <w:t xml:space="preserve">What I assumed</w:t>
            </w:r>
          </w:p>
        </w:tc>
        <w:tc>
          <w:tcPr>
            <w:tcW w:type="dxa" w:w="4400"/>
            <w:tcBorders>
              <w:top w:val="single" w:color="BFBFBF" w:sz="6"/>
              <w:left w:val="single" w:color="BFBFBF" w:sz="6"/>
              <w:bottom w:val="single" w:color="BFBFBF" w:sz="6"/>
              <w:right w:val="single" w:color="BFBFBF" w:sz="6"/>
            </w:tcBorders>
            <w:shd w:fill="F2F2F2" w:val="clear"/>
            <w:tcMar>
              <w:top w:type="dxa" w:w="90"/>
              <w:left w:type="dxa" w:w="140"/>
              <w:bottom w:type="dxa" w:w="90"/>
              <w:right w:type="dxa" w:w="140"/>
            </w:tcMar>
          </w:tcPr>
          <w:p>
            <w:pPr>
              <w:spacing w:after="0"/>
            </w:pPr>
            <w:r>
              <w:rPr>
                <w:rFonts w:ascii="Arial" w:cs="Arial" w:eastAsia="Arial" w:hAnsi="Arial"/>
                <w:sz w:val="20"/>
                <w:szCs w:val="20"/>
              </w:rPr>
              <w:t xml:space="preserve">Surfaces every confident interpretation: unit conversions, paren-negative parsing, total-row stripping, mixed-unit row splitting, period mapping ("FY 2023-24" → FY24 ending Mar 2024).</w:t>
            </w:r>
          </w:p>
        </w:tc>
        <w:tc>
          <w:tcPr>
            <w:tcW w:type="dxa" w:w="1960"/>
            <w:tcBorders>
              <w:top w:val="single" w:color="BFBFBF" w:sz="6"/>
              <w:left w:val="single" w:color="BFBFBF" w:sz="6"/>
              <w:bottom w:val="single" w:color="BFBFBF" w:sz="6"/>
              <w:right w:val="single" w:color="BFBFBF" w:sz="6"/>
            </w:tcBorders>
            <w:shd w:fill="F2F2F2" w:val="clear"/>
            <w:tcMar>
              <w:top w:type="dxa" w:w="90"/>
              <w:left w:type="dxa" w:w="140"/>
              <w:bottom w:type="dxa" w:w="90"/>
              <w:right w:type="dxa" w:w="140"/>
            </w:tcMar>
          </w:tcPr>
          <w:p>
            <w:pPr>
              <w:spacing w:after="0"/>
            </w:pPr>
            <w:r>
              <w:rPr>
                <w:rFonts w:ascii="Arial" w:cs="Arial" w:eastAsia="Arial" w:hAnsi="Arial"/>
                <w:sz w:val="20"/>
                <w:szCs w:val="20"/>
              </w:rPr>
              <w:t xml:space="preserve">None — informational</w:t>
            </w:r>
          </w:p>
        </w:tc>
      </w:tr>
      <w:tr>
        <w:tc>
          <w:tcPr>
            <w:tcW w:type="dxa" w:w="600"/>
            <w:tcBorders>
              <w:top w:val="single" w:color="BFBFBF" w:sz="6"/>
              <w:left w:val="single" w:color="BFBFBF" w:sz="6"/>
              <w:bottom w:val="single" w:color="BFBFBF" w:sz="6"/>
              <w:right w:val="single" w:color="BFBFBF" w:sz="6"/>
            </w:tcBorders>
            <w:tcMar>
              <w:top w:type="dxa" w:w="90"/>
              <w:left w:type="dxa" w:w="140"/>
              <w:bottom w:type="dxa" w:w="90"/>
              <w:right w:type="dxa" w:w="140"/>
            </w:tcMar>
          </w:tcPr>
          <w:p>
            <w:pPr>
              <w:spacing w:after="0"/>
            </w:pPr>
            <w:r>
              <w:rPr>
                <w:rFonts w:ascii="Arial" w:cs="Arial" w:eastAsia="Arial" w:hAnsi="Arial"/>
                <w:sz w:val="20"/>
                <w:szCs w:val="20"/>
              </w:rPr>
              <w:t xml:space="preserve">3</w:t>
            </w:r>
          </w:p>
        </w:tc>
        <w:tc>
          <w:tcPr>
            <w:tcW w:type="dxa" w:w="2400"/>
            <w:tcBorders>
              <w:top w:val="single" w:color="BFBFBF" w:sz="6"/>
              <w:left w:val="single" w:color="BFBFBF" w:sz="6"/>
              <w:bottom w:val="single" w:color="BFBFBF" w:sz="6"/>
              <w:right w:val="single" w:color="BFBFBF" w:sz="6"/>
            </w:tcBorders>
            <w:tcMar>
              <w:top w:type="dxa" w:w="90"/>
              <w:left w:type="dxa" w:w="140"/>
              <w:bottom w:type="dxa" w:w="90"/>
              <w:right w:type="dxa" w:w="140"/>
            </w:tcMar>
          </w:tcPr>
          <w:p>
            <w:pPr>
              <w:spacing w:after="0"/>
            </w:pPr>
            <w:r>
              <w:rPr>
                <w:rFonts w:ascii="Arial" w:cs="Arial" w:eastAsia="Arial" w:hAnsi="Arial"/>
                <w:sz w:val="20"/>
                <w:szCs w:val="20"/>
              </w:rPr>
              <w:t xml:space="preserve">What I derived</w:t>
            </w:r>
          </w:p>
        </w:tc>
        <w:tc>
          <w:tcPr>
            <w:tcW w:type="dxa" w:w="4400"/>
            <w:tcBorders>
              <w:top w:val="single" w:color="BFBFBF" w:sz="6"/>
              <w:left w:val="single" w:color="BFBFBF" w:sz="6"/>
              <w:bottom w:val="single" w:color="BFBFBF" w:sz="6"/>
              <w:right w:val="single" w:color="BFBFBF" w:sz="6"/>
            </w:tcBorders>
            <w:tcMar>
              <w:top w:type="dxa" w:w="90"/>
              <w:left w:type="dxa" w:w="140"/>
              <w:bottom w:type="dxa" w:w="90"/>
              <w:right w:type="dxa" w:w="140"/>
            </w:tcMar>
          </w:tcPr>
          <w:p>
            <w:pPr>
              <w:spacing w:after="0"/>
            </w:pPr>
            <w:r>
              <w:rPr>
                <w:rFonts w:ascii="Arial" w:cs="Arial" w:eastAsia="Arial" w:hAnsi="Arial"/>
                <w:sz w:val="20"/>
                <w:szCs w:val="20"/>
              </w:rPr>
              <w:t xml:space="preserve">Lists derived metrics computed deterministically (Gross Margin %, EBITDA, CAGR, YoY Growth %), with the source rows used.</w:t>
            </w:r>
          </w:p>
        </w:tc>
        <w:tc>
          <w:tcPr>
            <w:tcW w:type="dxa" w:w="1960"/>
            <w:tcBorders>
              <w:top w:val="single" w:color="BFBFBF" w:sz="6"/>
              <w:left w:val="single" w:color="BFBFBF" w:sz="6"/>
              <w:bottom w:val="single" w:color="BFBFBF" w:sz="6"/>
              <w:right w:val="single" w:color="BFBFBF" w:sz="6"/>
            </w:tcBorders>
            <w:tcMar>
              <w:top w:type="dxa" w:w="90"/>
              <w:left w:type="dxa" w:w="140"/>
              <w:bottom w:type="dxa" w:w="90"/>
              <w:right w:type="dxa" w:w="140"/>
            </w:tcMar>
          </w:tcPr>
          <w:p>
            <w:pPr>
              <w:spacing w:after="0"/>
            </w:pPr>
            <w:r>
              <w:rPr>
                <w:rFonts w:ascii="Arial" w:cs="Arial" w:eastAsia="Arial" w:hAnsi="Arial"/>
                <w:sz w:val="20"/>
                <w:szCs w:val="20"/>
              </w:rPr>
              <w:t xml:space="preserve">None — informational</w:t>
            </w:r>
          </w:p>
        </w:tc>
      </w:tr>
      <w:tr>
        <w:tc>
          <w:tcPr>
            <w:tcW w:type="dxa" w:w="600"/>
            <w:tcBorders>
              <w:top w:val="single" w:color="BFBFBF" w:sz="6"/>
              <w:left w:val="single" w:color="BFBFBF" w:sz="6"/>
              <w:bottom w:val="single" w:color="BFBFBF" w:sz="6"/>
              <w:right w:val="single" w:color="BFBFBF" w:sz="6"/>
            </w:tcBorders>
            <w:shd w:fill="F2F2F2" w:val="clear"/>
            <w:tcMar>
              <w:top w:type="dxa" w:w="90"/>
              <w:left w:type="dxa" w:w="140"/>
              <w:bottom w:type="dxa" w:w="90"/>
              <w:right w:type="dxa" w:w="140"/>
            </w:tcMar>
          </w:tcPr>
          <w:p>
            <w:pPr>
              <w:spacing w:after="0"/>
            </w:pPr>
            <w:r>
              <w:rPr>
                <w:rFonts w:ascii="Arial" w:cs="Arial" w:eastAsia="Arial" w:hAnsi="Arial"/>
                <w:sz w:val="20"/>
                <w:szCs w:val="20"/>
              </w:rPr>
              <w:t xml:space="preserve">4</w:t>
            </w:r>
          </w:p>
        </w:tc>
        <w:tc>
          <w:tcPr>
            <w:tcW w:type="dxa" w:w="2400"/>
            <w:tcBorders>
              <w:top w:val="single" w:color="BFBFBF" w:sz="6"/>
              <w:left w:val="single" w:color="BFBFBF" w:sz="6"/>
              <w:bottom w:val="single" w:color="BFBFBF" w:sz="6"/>
              <w:right w:val="single" w:color="BFBFBF" w:sz="6"/>
            </w:tcBorders>
            <w:shd w:fill="F2F2F2" w:val="clear"/>
            <w:tcMar>
              <w:top w:type="dxa" w:w="90"/>
              <w:left w:type="dxa" w:w="140"/>
              <w:bottom w:type="dxa" w:w="90"/>
              <w:right w:type="dxa" w:w="140"/>
            </w:tcMar>
          </w:tcPr>
          <w:p>
            <w:pPr>
              <w:spacing w:after="0"/>
            </w:pPr>
            <w:r>
              <w:rPr>
                <w:rFonts w:ascii="Arial" w:cs="Arial" w:eastAsia="Arial" w:hAnsi="Arial"/>
                <w:sz w:val="20"/>
                <w:szCs w:val="20"/>
              </w:rPr>
              <w:t xml:space="preserve">What I need from you</w:t>
            </w:r>
          </w:p>
        </w:tc>
        <w:tc>
          <w:tcPr>
            <w:tcW w:type="dxa" w:w="4400"/>
            <w:tcBorders>
              <w:top w:val="single" w:color="BFBFBF" w:sz="6"/>
              <w:left w:val="single" w:color="BFBFBF" w:sz="6"/>
              <w:bottom w:val="single" w:color="BFBFBF" w:sz="6"/>
              <w:right w:val="single" w:color="BFBFBF" w:sz="6"/>
            </w:tcBorders>
            <w:shd w:fill="F2F2F2" w:val="clear"/>
            <w:tcMar>
              <w:top w:type="dxa" w:w="90"/>
              <w:left w:type="dxa" w:w="140"/>
              <w:bottom w:type="dxa" w:w="90"/>
              <w:right w:type="dxa" w:w="140"/>
            </w:tcMar>
          </w:tcPr>
          <w:p>
            <w:pPr>
              <w:spacing w:after="0"/>
            </w:pPr>
            <w:r>
              <w:rPr>
                <w:rFonts w:ascii="Arial" w:cs="Arial" w:eastAsia="Arial" w:hAnsi="Arial"/>
                <w:sz w:val="20"/>
                <w:szCs w:val="20"/>
              </w:rPr>
              <w:t xml:space="preserve">Lists every cross-source conflict and any low-confidence mapping. Blocks until answered.</w:t>
            </w:r>
          </w:p>
        </w:tc>
        <w:tc>
          <w:tcPr>
            <w:tcW w:type="dxa" w:w="1960"/>
            <w:tcBorders>
              <w:top w:val="single" w:color="BFBFBF" w:sz="6"/>
              <w:left w:val="single" w:color="BFBFBF" w:sz="6"/>
              <w:bottom w:val="single" w:color="BFBFBF" w:sz="6"/>
              <w:right w:val="single" w:color="BFBFBF" w:sz="6"/>
            </w:tcBorders>
            <w:shd w:fill="F2F2F2" w:val="clear"/>
            <w:tcMar>
              <w:top w:type="dxa" w:w="90"/>
              <w:left w:type="dxa" w:w="140"/>
              <w:bottom w:type="dxa" w:w="90"/>
              <w:right w:type="dxa" w:w="140"/>
            </w:tcMar>
          </w:tcPr>
          <w:p>
            <w:pPr>
              <w:spacing w:after="0"/>
            </w:pPr>
            <w:r>
              <w:rPr>
                <w:rFonts w:ascii="Arial" w:cs="Arial" w:eastAsia="Arial" w:hAnsi="Arial"/>
                <w:sz w:val="20"/>
                <w:szCs w:val="20"/>
              </w:rPr>
              <w:t xml:space="preserve">REQUIRED — answer each question</w:t>
            </w:r>
          </w:p>
        </w:tc>
      </w:tr>
      <w:tr>
        <w:tc>
          <w:tcPr>
            <w:tcW w:type="dxa" w:w="600"/>
            <w:tcBorders>
              <w:top w:val="single" w:color="BFBFBF" w:sz="6"/>
              <w:left w:val="single" w:color="BFBFBF" w:sz="6"/>
              <w:bottom w:val="single" w:color="BFBFBF" w:sz="6"/>
              <w:right w:val="single" w:color="BFBFBF" w:sz="6"/>
            </w:tcBorders>
            <w:tcMar>
              <w:top w:type="dxa" w:w="90"/>
              <w:left w:type="dxa" w:w="140"/>
              <w:bottom w:type="dxa" w:w="90"/>
              <w:right w:type="dxa" w:w="140"/>
            </w:tcMar>
          </w:tcPr>
          <w:p>
            <w:pPr>
              <w:spacing w:after="0"/>
            </w:pPr>
            <w:r>
              <w:rPr>
                <w:rFonts w:ascii="Arial" w:cs="Arial" w:eastAsia="Arial" w:hAnsi="Arial"/>
                <w:sz w:val="20"/>
                <w:szCs w:val="20"/>
              </w:rPr>
              <w:t xml:space="preserve">5</w:t>
            </w:r>
          </w:p>
        </w:tc>
        <w:tc>
          <w:tcPr>
            <w:tcW w:type="dxa" w:w="2400"/>
            <w:tcBorders>
              <w:top w:val="single" w:color="BFBFBF" w:sz="6"/>
              <w:left w:val="single" w:color="BFBFBF" w:sz="6"/>
              <w:bottom w:val="single" w:color="BFBFBF" w:sz="6"/>
              <w:right w:val="single" w:color="BFBFBF" w:sz="6"/>
            </w:tcBorders>
            <w:tcMar>
              <w:top w:type="dxa" w:w="90"/>
              <w:left w:type="dxa" w:w="140"/>
              <w:bottom w:type="dxa" w:w="90"/>
              <w:right w:type="dxa" w:w="140"/>
            </w:tcMar>
          </w:tcPr>
          <w:p>
            <w:pPr>
              <w:spacing w:after="0"/>
            </w:pPr>
            <w:r>
              <w:rPr>
                <w:rFonts w:ascii="Arial" w:cs="Arial" w:eastAsia="Arial" w:hAnsi="Arial"/>
                <w:sz w:val="20"/>
                <w:szCs w:val="20"/>
              </w:rPr>
              <w:t xml:space="preserve">Acknowledge &amp; proceed</w:t>
            </w:r>
          </w:p>
        </w:tc>
        <w:tc>
          <w:tcPr>
            <w:tcW w:type="dxa" w:w="4400"/>
            <w:tcBorders>
              <w:top w:val="single" w:color="BFBFBF" w:sz="6"/>
              <w:left w:val="single" w:color="BFBFBF" w:sz="6"/>
              <w:bottom w:val="single" w:color="BFBFBF" w:sz="6"/>
              <w:right w:val="single" w:color="BFBFBF" w:sz="6"/>
            </w:tcBorders>
            <w:tcMar>
              <w:top w:type="dxa" w:w="90"/>
              <w:left w:type="dxa" w:w="140"/>
              <w:bottom w:type="dxa" w:w="90"/>
              <w:right w:type="dxa" w:w="140"/>
            </w:tcMar>
          </w:tcPr>
          <w:p>
            <w:pPr>
              <w:spacing w:after="0"/>
            </w:pPr>
            <w:r>
              <w:rPr>
                <w:rFonts w:ascii="Arial" w:cs="Arial" w:eastAsia="Arial" w:hAnsi="Arial"/>
                <w:sz w:val="20"/>
                <w:szCs w:val="20"/>
              </w:rPr>
              <w:t xml:space="preserve">A single confirmation prompt ("ok" / "go ahead" / "looks good") that promotes facts from staging to queryable.</w:t>
            </w:r>
          </w:p>
        </w:tc>
        <w:tc>
          <w:tcPr>
            <w:tcW w:type="dxa" w:w="1960"/>
            <w:tcBorders>
              <w:top w:val="single" w:color="BFBFBF" w:sz="6"/>
              <w:left w:val="single" w:color="BFBFBF" w:sz="6"/>
              <w:bottom w:val="single" w:color="BFBFBF" w:sz="6"/>
              <w:right w:val="single" w:color="BFBFBF" w:sz="6"/>
            </w:tcBorders>
            <w:tcMar>
              <w:top w:type="dxa" w:w="90"/>
              <w:left w:type="dxa" w:w="140"/>
              <w:bottom w:type="dxa" w:w="90"/>
              <w:right w:type="dxa" w:w="140"/>
            </w:tcMar>
          </w:tcPr>
          <w:p>
            <w:pPr>
              <w:spacing w:after="0"/>
            </w:pPr>
            <w:r>
              <w:rPr>
                <w:rFonts w:ascii="Arial" w:cs="Arial" w:eastAsia="Arial" w:hAnsi="Arial"/>
                <w:sz w:val="20"/>
                <w:szCs w:val="20"/>
              </w:rPr>
              <w:t xml:space="preserve">REQUIRED — acknowledgment</w:t>
            </w:r>
          </w:p>
        </w:tc>
      </w:tr>
    </w:tbl>
    <w:p>
      <w:pPr>
        <w:spacing w:after="120"/>
      </w:pPr>
    </w:p>
    <w:p>
      <w:pPr>
        <w:pStyle w:val="Heading2"/>
        <w:spacing w:after="120" w:before="220"/>
      </w:pPr>
      <w:r>
        <w:rPr>
          <w:rFonts w:ascii="Arial" w:cs="Arial" w:eastAsia="Arial" w:hAnsi="Arial"/>
          <w:b/>
          <w:bCs/>
          <w:sz w:val="26"/>
          <w:szCs w:val="26"/>
        </w:rPr>
        <w:t xml:space="preserve">7.2 Conflict Resolution Policy (v1.2)</w:t>
      </w:r>
    </w:p>
    <w:p>
      <w:pPr>
        <w:spacing w:after="120" w:line="300"/>
      </w:pPr>
      <w:r>
        <w:rPr>
          <w:rFonts w:ascii="Arial" w:cs="Arial" w:eastAsia="Arial" w:hAnsi="Arial"/>
          <w:sz w:val="22"/>
          <w:szCs w:val="22"/>
        </w:rPr>
        <w:t xml:space="preserve">When the same (entity, metric, period) tuple has values from multiple sources that differ beyond tolerance, the bot must ask the user once during onboarding. Their answer is locked in for the entire session: subsequent queries about that metric never re-prompt. The locked-in choice is recorded in the citation envelope of every answer involving that metric, so the user can always see which source they chose.</w:t>
      </w:r>
    </w:p>
    <w:p>
      <w:pPr>
        <w:pStyle w:val="ListParagraph"/>
        <w:numPr>
          <w:ilvl w:val="0"/>
          <w:numId w:val="2"/>
        </w:numPr>
        <w:spacing w:after="80" w:line="300"/>
      </w:pPr>
      <w:r>
        <w:rPr>
          <w:rFonts w:ascii="Arial" w:cs="Arial" w:eastAsia="Arial" w:hAnsi="Arial"/>
          <w:sz w:val="22"/>
          <w:szCs w:val="22"/>
        </w:rPr>
        <w:t xml:space="preserve">If the user later wants to change the source-of-truth choice, they must re-upload the file or explicitly invoke a "reset source choices" command.</w:t>
      </w:r>
    </w:p>
    <w:p>
      <w:pPr>
        <w:pStyle w:val="ListParagraph"/>
        <w:numPr>
          <w:ilvl w:val="0"/>
          <w:numId w:val="2"/>
        </w:numPr>
        <w:spacing w:after="80" w:line="300"/>
      </w:pPr>
      <w:r>
        <w:rPr>
          <w:rFonts w:ascii="Arial" w:cs="Arial" w:eastAsia="Arial" w:hAnsi="Arial"/>
          <w:sz w:val="22"/>
          <w:szCs w:val="22"/>
        </w:rPr>
        <w:t xml:space="preserve">If the same conflict appears in a future session, the bot does NOT remember the prior choice — onboarding starts fresh. (This is intentional: stale choices are dangerous.)</w:t>
      </w:r>
    </w:p>
    <w:p>
      <w:pPr>
        <w:pStyle w:val="ListParagraph"/>
        <w:numPr>
          <w:ilvl w:val="0"/>
          <w:numId w:val="2"/>
        </w:numPr>
        <w:spacing w:after="80" w:line="300"/>
      </w:pPr>
      <w:r>
        <w:rPr>
          <w:rFonts w:ascii="Arial" w:cs="Arial" w:eastAsia="Arial" w:hAnsi="Arial"/>
          <w:sz w:val="22"/>
          <w:szCs w:val="22"/>
        </w:rPr>
        <w:t xml:space="preserve">If the user cannot decide and wants to see all values, the bot offers a "show all" option that displays every conflicting value with its citation in every relevant answer, instead of picking one.</w:t>
      </w:r>
    </w:p>
    <w:p>
      <w:pPr>
        <w:pStyle w:val="Heading2"/>
        <w:spacing w:after="120" w:before="220"/>
      </w:pPr>
      <w:r>
        <w:rPr>
          <w:rFonts w:ascii="Arial" w:cs="Arial" w:eastAsia="Arial" w:hAnsi="Arial"/>
          <w:b/>
          <w:bCs/>
          <w:sz w:val="26"/>
          <w:szCs w:val="26"/>
        </w:rPr>
        <w:t xml:space="preserve">7.3 Confident-Decision Disclosure Policy (v1.2)</w:t>
      </w:r>
    </w:p>
    <w:p>
      <w:pPr>
        <w:spacing w:after="120" w:line="300"/>
      </w:pPr>
      <w:r>
        <w:rPr>
          <w:rFonts w:ascii="Arial" w:cs="Arial" w:eastAsia="Arial" w:hAnsi="Arial"/>
          <w:sz w:val="22"/>
          <w:szCs w:val="22"/>
        </w:rPr>
        <w:t xml:space="preserve">Every confident interpretation decision — even ones the bot would handle without asking — is listed in the onboarding message. The user does not need to act on these (no questions are asked), but they are visible. This is the per-user-preference choice locked in at PRD level: full disclosure over silent application.</w:t>
      </w:r>
    </w:p>
    <w:p>
      <w:pPr>
        <w:pStyle w:val="ListParagraph"/>
        <w:numPr>
          <w:ilvl w:val="0"/>
          <w:numId w:val="2"/>
        </w:numPr>
        <w:spacing w:after="80" w:line="300"/>
      </w:pPr>
      <w:r>
        <w:rPr>
          <w:rFonts w:ascii="Arial" w:cs="Arial" w:eastAsia="Arial" w:hAnsi="Arial"/>
          <w:sz w:val="22"/>
          <w:szCs w:val="22"/>
        </w:rPr>
        <w:t xml:space="preserve">Unit conversions (Lakhs → Crore, INR absolute → Lakhs, etc.) are listed individually.</w:t>
      </w:r>
    </w:p>
    <w:p>
      <w:pPr>
        <w:pStyle w:val="ListParagraph"/>
        <w:numPr>
          <w:ilvl w:val="0"/>
          <w:numId w:val="2"/>
        </w:numPr>
        <w:spacing w:after="80" w:line="300"/>
      </w:pPr>
      <w:r>
        <w:rPr>
          <w:rFonts w:ascii="Arial" w:cs="Arial" w:eastAsia="Arial" w:hAnsi="Arial"/>
          <w:sz w:val="22"/>
          <w:szCs w:val="22"/>
        </w:rPr>
        <w:t xml:space="preserve">Paren-negative parsing is listed once per sheet where it occurred, with one example cell.</w:t>
      </w:r>
    </w:p>
    <w:p>
      <w:pPr>
        <w:pStyle w:val="ListParagraph"/>
        <w:numPr>
          <w:ilvl w:val="0"/>
          <w:numId w:val="2"/>
        </w:numPr>
        <w:spacing w:after="80" w:line="300"/>
      </w:pPr>
      <w:r>
        <w:rPr>
          <w:rFonts w:ascii="Arial" w:cs="Arial" w:eastAsia="Arial" w:hAnsi="Arial"/>
          <w:sz w:val="22"/>
          <w:szCs w:val="22"/>
        </w:rPr>
        <w:t xml:space="preserve">Total/subtotal rows that were stripped are listed by row label.</w:t>
      </w:r>
    </w:p>
    <w:p>
      <w:pPr>
        <w:pStyle w:val="ListParagraph"/>
        <w:numPr>
          <w:ilvl w:val="0"/>
          <w:numId w:val="2"/>
        </w:numPr>
        <w:spacing w:after="80" w:line="300"/>
      </w:pPr>
      <w:r>
        <w:rPr>
          <w:rFonts w:ascii="Arial" w:cs="Arial" w:eastAsia="Arial" w:hAnsi="Arial"/>
          <w:sz w:val="22"/>
          <w:szCs w:val="22"/>
        </w:rPr>
        <w:t xml:space="preserve">Mixed-unit row splits (e.g., Sharma Textiles' Other Exp Detail) are listed with the rows that were treated differently.</w:t>
      </w:r>
    </w:p>
    <w:p>
      <w:pPr>
        <w:pStyle w:val="ListParagraph"/>
        <w:numPr>
          <w:ilvl w:val="0"/>
          <w:numId w:val="2"/>
        </w:numPr>
        <w:spacing w:after="80" w:line="300"/>
      </w:pPr>
      <w:r>
        <w:rPr>
          <w:rFonts w:ascii="Arial" w:cs="Arial" w:eastAsia="Arial" w:hAnsi="Arial"/>
          <w:sz w:val="22"/>
          <w:szCs w:val="22"/>
        </w:rPr>
        <w:t xml:space="preserve">Period normalization is listed once per detected period grain.</w:t>
      </w:r>
    </w:p>
    <w:p>
      <w:pPr>
        <w:pStyle w:val="ListParagraph"/>
        <w:numPr>
          <w:ilvl w:val="0"/>
          <w:numId w:val="2"/>
        </w:numPr>
        <w:spacing w:after="80" w:line="300"/>
      </w:pPr>
      <w:r>
        <w:rPr>
          <w:rFonts w:ascii="Arial" w:cs="Arial" w:eastAsia="Arial" w:hAnsi="Arial"/>
          <w:sz w:val="22"/>
          <w:szCs w:val="22"/>
        </w:rPr>
        <w:t xml:space="preserve">If the message exceeds ~30 disclosure items, items are grouped into expandable categories ("15 unit conversions — tap to expand") to avoid overwhelming the user. Default state is collapsed for groups, expanded for individual items.</w:t>
      </w:r>
    </w:p>
    <w:p>
      <w:pPr>
        <w:pStyle w:val="Heading2"/>
        <w:spacing w:after="120" w:before="220"/>
      </w:pPr>
      <w:r>
        <w:rPr>
          <w:rFonts w:ascii="Arial" w:cs="Arial" w:eastAsia="Arial" w:hAnsi="Arial"/>
          <w:b/>
          <w:bCs/>
          <w:sz w:val="26"/>
          <w:szCs w:val="26"/>
        </w:rPr>
        <w:t xml:space="preserve">7.4 Worked Example: Glow Naturals CSV</w:t>
      </w:r>
    </w:p>
    <w:p>
      <w:pPr>
        <w:spacing w:after="120" w:line="300"/>
      </w:pPr>
      <w:r>
        <w:rPr>
          <w:rFonts w:ascii="Arial" w:cs="Arial" w:eastAsia="Arial" w:hAnsi="Arial"/>
          <w:sz w:val="22"/>
          <w:szCs w:val="22"/>
        </w:rPr>
        <w:t xml:space="preserve">The following is the bot's onboarding message for Glow_Naturals_monthly_pnl_2023_24.csv. It is reproduced verbatim to demonstrate the tone, density, and structure expected. Every numeric reference in the message is backed by a citation envelope (§6) that the user can expand.</w:t>
      </w:r>
    </w:p>
    <w:p>
      <w:pPr>
        <w:pBdr>
          <w:top w:val="single" w:color="C5D9E8" w:sz="4" w:space="4"/>
          <w:left w:val="single" w:color="C5D9E8" w:sz="4" w:space="4"/>
          <w:bottom w:val="single" w:color="C5D9E8" w:sz="4" w:space="4"/>
          <w:right w:val="single" w:color="C5D9E8" w:sz="4" w:space="4"/>
        </w:pBdr>
        <w:shd w:fill="F2F7FB" w:val="clear"/>
        <w:spacing w:after="80" w:line="280"/>
      </w:pPr>
      <w:r>
        <w:rPr>
          <w:rFonts w:ascii="Arial" w:cs="Arial" w:eastAsia="Arial" w:hAnsi="Arial"/>
          <w:i/>
          <w:iCs/>
          <w:sz w:val="21"/>
          <w:szCs w:val="21"/>
        </w:rPr>
        <w:t xml:space="preserve">Hi! I've finished reading Glow_Naturals_monthly_pnl_2023_24.csv. Here's what I found and what I assumed before I'm ready to answer questions.</w:t>
      </w:r>
    </w:p>
    <w:p>
      <w:pPr>
        <w:pBdr>
          <w:top w:val="single" w:color="C5D9E8" w:sz="4" w:space="4"/>
          <w:left w:val="single" w:color="C5D9E8" w:sz="4" w:space="4"/>
          <w:bottom w:val="single" w:color="C5D9E8" w:sz="4" w:space="4"/>
          <w:right w:val="single" w:color="C5D9E8" w:sz="4" w:space="4"/>
        </w:pBdr>
        <w:shd w:fill="F2F7FB" w:val="clear"/>
        <w:spacing w:after="80" w:line="280"/>
      </w:pPr>
      <w:r>
        <w:rPr>
          <w:rFonts w:ascii="Arial" w:cs="Arial" w:eastAsia="Arial" w:hAnsi="Arial"/>
          <w:b/>
          <w:bCs/>
          <w:sz w:val="21"/>
          <w:szCs w:val="21"/>
        </w:rPr>
        <w:t xml:space="preserve">WHAT I FOUND</w:t>
      </w:r>
    </w:p>
    <w:p>
      <w:pPr>
        <w:pBdr>
          <w:top w:val="single" w:color="C5D9E8" w:sz="4" w:space="4"/>
          <w:left w:val="single" w:color="C5D9E8" w:sz="4" w:space="4"/>
          <w:bottom w:val="single" w:color="C5D9E8" w:sz="4" w:space="4"/>
          <w:right w:val="single" w:color="C5D9E8" w:sz="4" w:space="4"/>
        </w:pBdr>
        <w:shd w:fill="F2F7FB" w:val="clear"/>
        <w:spacing w:after="80" w:line="280"/>
      </w:pPr>
      <w:r>
        <w:rPr>
          <w:rFonts w:ascii="Arial" w:cs="Arial" w:eastAsia="Arial" w:hAnsi="Arial"/>
          <w:sz w:val="21"/>
          <w:szCs w:val="21"/>
        </w:rPr>
        <w:t xml:space="preserve">• A monthly P&amp;L for Glow Naturals from April 2023 to March 2024 (12 months).</w:t>
      </w:r>
    </w:p>
    <w:p>
      <w:pPr>
        <w:pBdr>
          <w:top w:val="single" w:color="C5D9E8" w:sz="4" w:space="4"/>
          <w:left w:val="single" w:color="C5D9E8" w:sz="4" w:space="4"/>
          <w:bottom w:val="single" w:color="C5D9E8" w:sz="4" w:space="4"/>
          <w:right w:val="single" w:color="C5D9E8" w:sz="4" w:space="4"/>
        </w:pBdr>
        <w:shd w:fill="F2F7FB" w:val="clear"/>
        <w:spacing w:after="80" w:line="280"/>
      </w:pPr>
      <w:r>
        <w:rPr>
          <w:rFonts w:ascii="Arial" w:cs="Arial" w:eastAsia="Arial" w:hAnsi="Arial"/>
          <w:sz w:val="21"/>
          <w:szCs w:val="21"/>
        </w:rPr>
        <w:t xml:space="preserve">• 14 line items per month: GMV, returns/refunds, Net Revenue, COGS, gross margin, marketing spend, marketplace fees, salary, rent + utilities, packaging, logistics, other, EBITDA, and notes.</w:t>
      </w:r>
    </w:p>
    <w:p>
      <w:pPr>
        <w:pBdr>
          <w:top w:val="single" w:color="C5D9E8" w:sz="4" w:space="4"/>
          <w:left w:val="single" w:color="C5D9E8" w:sz="4" w:space="4"/>
          <w:bottom w:val="single" w:color="C5D9E8" w:sz="4" w:space="4"/>
          <w:right w:val="single" w:color="C5D9E8" w:sz="4" w:space="4"/>
        </w:pBdr>
        <w:shd w:fill="F2F7FB" w:val="clear"/>
        <w:spacing w:after="80" w:line="280"/>
      </w:pPr>
      <w:r>
        <w:rPr>
          <w:rFonts w:ascii="Arial" w:cs="Arial" w:eastAsia="Arial" w:hAnsi="Arial"/>
          <w:sz w:val="21"/>
          <w:szCs w:val="21"/>
        </w:rPr>
        <w:t xml:space="preserve">• A footer with 4 narrative notes about cost structure changes and 2 pre-calculated metrics (gross margin %, EBITDA margin %).</w:t>
      </w:r>
    </w:p>
    <w:p>
      <w:pPr>
        <w:pBdr>
          <w:top w:val="single" w:color="C5D9E8" w:sz="4" w:space="4"/>
          <w:left w:val="single" w:color="C5D9E8" w:sz="4" w:space="4"/>
          <w:bottom w:val="single" w:color="C5D9E8" w:sz="4" w:space="4"/>
          <w:right w:val="single" w:color="C5D9E8" w:sz="4" w:space="4"/>
        </w:pBdr>
        <w:shd w:fill="F2F7FB" w:val="clear"/>
        <w:spacing w:after="80" w:line="280"/>
      </w:pPr>
      <w:r>
        <w:rPr>
          <w:rFonts w:ascii="Arial" w:cs="Arial" w:eastAsia="Arial" w:hAnsi="Arial"/>
          <w:b/>
          <w:bCs/>
          <w:sz w:val="21"/>
          <w:szCs w:val="21"/>
        </w:rPr>
        <w:t xml:space="preserve">WHAT I ASSUMED</w:t>
      </w:r>
    </w:p>
    <w:p>
      <w:pPr>
        <w:pBdr>
          <w:top w:val="single" w:color="C5D9E8" w:sz="4" w:space="4"/>
          <w:left w:val="single" w:color="C5D9E8" w:sz="4" w:space="4"/>
          <w:bottom w:val="single" w:color="C5D9E8" w:sz="4" w:space="4"/>
          <w:right w:val="single" w:color="C5D9E8" w:sz="4" w:space="4"/>
        </w:pBdr>
        <w:shd w:fill="F2F7FB" w:val="clear"/>
        <w:spacing w:after="80" w:line="280"/>
      </w:pPr>
      <w:r>
        <w:rPr>
          <w:rFonts w:ascii="Arial" w:cs="Arial" w:eastAsia="Arial" w:hAnsi="Arial"/>
          <w:sz w:val="21"/>
          <w:szCs w:val="21"/>
        </w:rPr>
        <w:t xml:space="preserve">• Currency: INR (per the file's units disclaimer at the top).</w:t>
      </w:r>
    </w:p>
    <w:p>
      <w:pPr>
        <w:pBdr>
          <w:top w:val="single" w:color="C5D9E8" w:sz="4" w:space="4"/>
          <w:left w:val="single" w:color="C5D9E8" w:sz="4" w:space="4"/>
          <w:bottom w:val="single" w:color="C5D9E8" w:sz="4" w:space="4"/>
          <w:right w:val="single" w:color="C5D9E8" w:sz="4" w:space="4"/>
        </w:pBdr>
        <w:shd w:fill="F2F7FB" w:val="clear"/>
        <w:spacing w:after="80" w:line="280"/>
      </w:pPr>
      <w:r>
        <w:rPr>
          <w:rFonts w:ascii="Arial" w:cs="Arial" w:eastAsia="Arial" w:hAnsi="Arial"/>
          <w:sz w:val="21"/>
          <w:szCs w:val="21"/>
        </w:rPr>
        <w:t xml:space="preserve">• All values stored in absolute Rupees (no Lakhs/Crore conversion needed).</w:t>
      </w:r>
    </w:p>
    <w:p>
      <w:pPr>
        <w:pBdr>
          <w:top w:val="single" w:color="C5D9E8" w:sz="4" w:space="4"/>
          <w:left w:val="single" w:color="C5D9E8" w:sz="4" w:space="4"/>
          <w:bottom w:val="single" w:color="C5D9E8" w:sz="4" w:space="4"/>
          <w:right w:val="single" w:color="C5D9E8" w:sz="4" w:space="4"/>
        </w:pBdr>
        <w:shd w:fill="F2F7FB" w:val="clear"/>
        <w:spacing w:after="80" w:line="280"/>
      </w:pPr>
      <w:r>
        <w:rPr>
          <w:rFonts w:ascii="Arial" w:cs="Arial" w:eastAsia="Arial" w:hAnsi="Arial"/>
          <w:sz w:val="21"/>
          <w:szCs w:val="21"/>
        </w:rPr>
        <w:t xml:space="preserve">• Stripped 1 title row, 2 blank separator rows, and the TOTAL row (treated as a check, not data) before loading the 12 monthly rows.</w:t>
      </w:r>
    </w:p>
    <w:p>
      <w:pPr>
        <w:pBdr>
          <w:top w:val="single" w:color="C5D9E8" w:sz="4" w:space="4"/>
          <w:left w:val="single" w:color="C5D9E8" w:sz="4" w:space="4"/>
          <w:bottom w:val="single" w:color="C5D9E8" w:sz="4" w:space="4"/>
          <w:right w:val="single" w:color="C5D9E8" w:sz="4" w:space="4"/>
        </w:pBdr>
        <w:shd w:fill="F2F7FB" w:val="clear"/>
        <w:spacing w:after="80" w:line="280"/>
      </w:pPr>
      <w:r>
        <w:rPr>
          <w:rFonts w:ascii="Arial" w:cs="Arial" w:eastAsia="Arial" w:hAnsi="Arial"/>
          <w:sz w:val="21"/>
          <w:szCs w:val="21"/>
        </w:rPr>
        <w:t xml:space="preserve">• The cell value "67.0% (calc)" in the gross margin % field — I read this as 67.0% and treated "(calc)" as an annotation, not part of the value.</w:t>
      </w:r>
    </w:p>
    <w:p>
      <w:pPr>
        <w:pBdr>
          <w:top w:val="single" w:color="C5D9E8" w:sz="4" w:space="4"/>
          <w:left w:val="single" w:color="C5D9E8" w:sz="4" w:space="4"/>
          <w:bottom w:val="single" w:color="C5D9E8" w:sz="4" w:space="4"/>
          <w:right w:val="single" w:color="C5D9E8" w:sz="4" w:space="4"/>
        </w:pBdr>
        <w:shd w:fill="F2F7FB" w:val="clear"/>
        <w:spacing w:after="80" w:line="280"/>
      </w:pPr>
      <w:r>
        <w:rPr>
          <w:rFonts w:ascii="Arial" w:cs="Arial" w:eastAsia="Arial" w:hAnsi="Arial"/>
          <w:sz w:val="21"/>
          <w:szCs w:val="21"/>
        </w:rPr>
        <w:t xml:space="preserve">• Period grain: monthly. Mapped each month label (e.g., "Apr-23") to a period (FY24 M01 ending 30-Apr-2023).</w:t>
      </w:r>
    </w:p>
    <w:p>
      <w:pPr>
        <w:pBdr>
          <w:top w:val="single" w:color="C5D9E8" w:sz="4" w:space="4"/>
          <w:left w:val="single" w:color="C5D9E8" w:sz="4" w:space="4"/>
          <w:bottom w:val="single" w:color="C5D9E8" w:sz="4" w:space="4"/>
          <w:right w:val="single" w:color="C5D9E8" w:sz="4" w:space="4"/>
        </w:pBdr>
        <w:shd w:fill="F2F7FB" w:val="clear"/>
        <w:spacing w:after="80" w:line="280"/>
      </w:pPr>
      <w:r>
        <w:rPr>
          <w:rFonts w:ascii="Arial" w:cs="Arial" w:eastAsia="Arial" w:hAnsi="Arial"/>
          <w:sz w:val="21"/>
          <w:szCs w:val="21"/>
        </w:rPr>
        <w:t xml:space="preserve">• Captured the 4 footer notes as qualitative context linked to specific periods: monsoon dip (Jun), salary step-up (Oct, Feb), warehouse rent step-up (Aug), festive seasonality (Oct–Dec). I'll surface these when you ask about variances in those months.</w:t>
      </w:r>
    </w:p>
    <w:p>
      <w:pPr>
        <w:pBdr>
          <w:top w:val="single" w:color="C5D9E8" w:sz="4" w:space="4"/>
          <w:left w:val="single" w:color="C5D9E8" w:sz="4" w:space="4"/>
          <w:bottom w:val="single" w:color="C5D9E8" w:sz="4" w:space="4"/>
          <w:right w:val="single" w:color="C5D9E8" w:sz="4" w:space="4"/>
        </w:pBdr>
        <w:shd w:fill="F2F7FB" w:val="clear"/>
        <w:spacing w:after="80" w:line="280"/>
      </w:pPr>
      <w:r>
        <w:rPr>
          <w:rFonts w:ascii="Arial" w:cs="Arial" w:eastAsia="Arial" w:hAnsi="Arial"/>
          <w:sz w:val="21"/>
          <w:szCs w:val="21"/>
        </w:rPr>
        <w:t xml:space="preserve">• Captured the inline "notes" column for each month (e.g., "diwali peak" for Nov).</w:t>
      </w:r>
    </w:p>
    <w:p>
      <w:pPr>
        <w:pBdr>
          <w:top w:val="single" w:color="C5D9E8" w:sz="4" w:space="4"/>
          <w:left w:val="single" w:color="C5D9E8" w:sz="4" w:space="4"/>
          <w:bottom w:val="single" w:color="C5D9E8" w:sz="4" w:space="4"/>
          <w:right w:val="single" w:color="C5D9E8" w:sz="4" w:space="4"/>
        </w:pBdr>
        <w:shd w:fill="F2F7FB" w:val="clear"/>
        <w:spacing w:after="80" w:line="280"/>
      </w:pPr>
      <w:r>
        <w:rPr>
          <w:rFonts w:ascii="Arial" w:cs="Arial" w:eastAsia="Arial" w:hAnsi="Arial"/>
          <w:b/>
          <w:bCs/>
          <w:sz w:val="21"/>
          <w:szCs w:val="21"/>
        </w:rPr>
        <w:t xml:space="preserve">WHAT I DERIVED</w:t>
      </w:r>
    </w:p>
    <w:p>
      <w:pPr>
        <w:pBdr>
          <w:top w:val="single" w:color="C5D9E8" w:sz="4" w:space="4"/>
          <w:left w:val="single" w:color="C5D9E8" w:sz="4" w:space="4"/>
          <w:bottom w:val="single" w:color="C5D9E8" w:sz="4" w:space="4"/>
          <w:right w:val="single" w:color="C5D9E8" w:sz="4" w:space="4"/>
        </w:pBdr>
        <w:shd w:fill="F2F7FB" w:val="clear"/>
        <w:spacing w:after="80" w:line="280"/>
      </w:pPr>
      <w:r>
        <w:rPr>
          <w:rFonts w:ascii="Arial" w:cs="Arial" w:eastAsia="Arial" w:hAnsi="Arial"/>
          <w:sz w:val="21"/>
          <w:szCs w:val="21"/>
        </w:rPr>
        <w:t xml:space="preserve">• Annual EBITDA: ₹75.85 lakhs (sum of monthly EBITDA, matches the file's TOTAL row at ₹7,585,000).</w:t>
      </w:r>
    </w:p>
    <w:p>
      <w:pPr>
        <w:pBdr>
          <w:top w:val="single" w:color="C5D9E8" w:sz="4" w:space="4"/>
          <w:left w:val="single" w:color="C5D9E8" w:sz="4" w:space="4"/>
          <w:bottom w:val="single" w:color="C5D9E8" w:sz="4" w:space="4"/>
          <w:right w:val="single" w:color="C5D9E8" w:sz="4" w:space="4"/>
        </w:pBdr>
        <w:shd w:fill="F2F7FB" w:val="clear"/>
        <w:spacing w:after="80" w:line="280"/>
      </w:pPr>
      <w:r>
        <w:rPr>
          <w:rFonts w:ascii="Arial" w:cs="Arial" w:eastAsia="Arial" w:hAnsi="Arial"/>
          <w:sz w:val="21"/>
          <w:szCs w:val="21"/>
        </w:rPr>
        <w:t xml:space="preserve">• Annual Gross Margin: 67.0% (matches the file's pre-calculated value).</w:t>
      </w:r>
    </w:p>
    <w:p>
      <w:pPr>
        <w:pBdr>
          <w:top w:val="single" w:color="C5D9E8" w:sz="4" w:space="4"/>
          <w:left w:val="single" w:color="C5D9E8" w:sz="4" w:space="4"/>
          <w:bottom w:val="single" w:color="C5D9E8" w:sz="4" w:space="4"/>
          <w:right w:val="single" w:color="C5D9E8" w:sz="4" w:space="4"/>
        </w:pBdr>
        <w:shd w:fill="F2F7FB" w:val="clear"/>
        <w:spacing w:after="80" w:line="280"/>
      </w:pPr>
      <w:r>
        <w:rPr>
          <w:rFonts w:ascii="Arial" w:cs="Arial" w:eastAsia="Arial" w:hAnsi="Arial"/>
          <w:sz w:val="21"/>
          <w:szCs w:val="21"/>
        </w:rPr>
        <w:t xml:space="preserve">• Annual EBITDA Margin: 16.4% (matches the file's pre-calculated value).</w:t>
      </w:r>
    </w:p>
    <w:p>
      <w:pPr>
        <w:pBdr>
          <w:top w:val="single" w:color="C5D9E8" w:sz="4" w:space="4"/>
          <w:left w:val="single" w:color="C5D9E8" w:sz="4" w:space="4"/>
          <w:bottom w:val="single" w:color="C5D9E8" w:sz="4" w:space="4"/>
          <w:right w:val="single" w:color="C5D9E8" w:sz="4" w:space="4"/>
        </w:pBdr>
        <w:shd w:fill="F2F7FB" w:val="clear"/>
        <w:spacing w:after="80" w:line="280"/>
      </w:pPr>
      <w:r>
        <w:rPr>
          <w:rFonts w:ascii="Arial" w:cs="Arial" w:eastAsia="Arial" w:hAnsi="Arial"/>
          <w:sz w:val="21"/>
          <w:szCs w:val="21"/>
        </w:rPr>
        <w:t xml:space="preserve">• MoM and YoY growth rates per metric (YoY would need a prior-year file).</w:t>
      </w:r>
    </w:p>
    <w:p>
      <w:pPr>
        <w:pBdr>
          <w:top w:val="single" w:color="C5D9E8" w:sz="4" w:space="4"/>
          <w:left w:val="single" w:color="C5D9E8" w:sz="4" w:space="4"/>
          <w:bottom w:val="single" w:color="C5D9E8" w:sz="4" w:space="4"/>
          <w:right w:val="single" w:color="C5D9E8" w:sz="4" w:space="4"/>
        </w:pBdr>
        <w:shd w:fill="F2F7FB" w:val="clear"/>
        <w:spacing w:after="80" w:line="280"/>
      </w:pPr>
      <w:r>
        <w:rPr>
          <w:rFonts w:ascii="Arial" w:cs="Arial" w:eastAsia="Arial" w:hAnsi="Arial"/>
          <w:b/>
          <w:bCs/>
          <w:sz w:val="21"/>
          <w:szCs w:val="21"/>
        </w:rPr>
        <w:t xml:space="preserve">WHAT I NEED FROM YOU</w:t>
      </w:r>
    </w:p>
    <w:p>
      <w:pPr>
        <w:pBdr>
          <w:top w:val="single" w:color="C5D9E8" w:sz="4" w:space="4"/>
          <w:left w:val="single" w:color="C5D9E8" w:sz="4" w:space="4"/>
          <w:bottom w:val="single" w:color="C5D9E8" w:sz="4" w:space="4"/>
          <w:right w:val="single" w:color="C5D9E8" w:sz="4" w:space="4"/>
        </w:pBdr>
        <w:shd w:fill="F2F7FB" w:val="clear"/>
        <w:spacing w:after="80" w:line="280"/>
      </w:pPr>
      <w:r>
        <w:rPr>
          <w:rFonts w:ascii="Arial" w:cs="Arial" w:eastAsia="Arial" w:hAnsi="Arial"/>
          <w:i/>
          <w:iCs/>
          <w:sz w:val="21"/>
          <w:szCs w:val="21"/>
        </w:rPr>
        <w:t xml:space="preserve">• Nothing — no conflicts detected. The file's footer notes that it is "not yet audited." I'll flag this caveat in any answer that uses these numbers in a serious context.</w:t>
      </w:r>
    </w:p>
    <w:p>
      <w:pPr>
        <w:pBdr>
          <w:top w:val="single" w:color="C5D9E8" w:sz="4" w:space="4"/>
          <w:left w:val="single" w:color="C5D9E8" w:sz="4" w:space="4"/>
          <w:bottom w:val="single" w:color="C5D9E8" w:sz="4" w:space="4"/>
          <w:right w:val="single" w:color="C5D9E8" w:sz="4" w:space="4"/>
        </w:pBdr>
        <w:shd w:fill="F2F7FB" w:val="clear"/>
        <w:spacing w:after="80" w:line="280"/>
      </w:pPr>
      <w:r>
        <w:rPr>
          <w:rFonts w:ascii="Arial" w:cs="Arial" w:eastAsia="Arial" w:hAnsi="Arial"/>
          <w:i/>
          <w:iCs/>
          <w:sz w:val="21"/>
          <w:szCs w:val="21"/>
        </w:rPr>
        <w:t xml:space="preserve">Reply "ok" or "go ahead" and I'll start answering questions about Glow Naturals.</w:t>
      </w:r>
    </w:p>
    <w:p>
      <w:pPr>
        <w:pStyle w:val="Heading2"/>
        <w:spacing w:after="120" w:before="220"/>
      </w:pPr>
      <w:r>
        <w:rPr>
          <w:rFonts w:ascii="Arial" w:cs="Arial" w:eastAsia="Arial" w:hAnsi="Arial"/>
          <w:b/>
          <w:bCs/>
          <w:sz w:val="26"/>
          <w:szCs w:val="26"/>
        </w:rPr>
        <w:t xml:space="preserve">7.5 Worked Example: Krishnan Engineering xlsx (Conflict Case)</w:t>
      </w:r>
    </w:p>
    <w:p>
      <w:pPr>
        <w:spacing w:after="120" w:line="300"/>
      </w:pPr>
      <w:r>
        <w:rPr>
          <w:rFonts w:ascii="Arial" w:cs="Arial" w:eastAsia="Arial" w:hAnsi="Arial"/>
          <w:sz w:val="22"/>
          <w:szCs w:val="22"/>
        </w:rPr>
        <w:t xml:space="preserve">This file is the conflict-detection canonical case. Three sheets disagree on FY24 net turnover. The bot must surface this and ask once. Reproduced verbatim:</w:t>
      </w:r>
    </w:p>
    <w:p>
      <w:pPr>
        <w:pBdr>
          <w:top w:val="single" w:color="C5D9E8" w:sz="4" w:space="4"/>
          <w:left w:val="single" w:color="C5D9E8" w:sz="4" w:space="4"/>
          <w:bottom w:val="single" w:color="C5D9E8" w:sz="4" w:space="4"/>
          <w:right w:val="single" w:color="C5D9E8" w:sz="4" w:space="4"/>
        </w:pBdr>
        <w:shd w:fill="F2F7FB" w:val="clear"/>
        <w:spacing w:after="80" w:line="280"/>
      </w:pPr>
      <w:r>
        <w:rPr>
          <w:rFonts w:ascii="Arial" w:cs="Arial" w:eastAsia="Arial" w:hAnsi="Arial"/>
          <w:i/>
          <w:iCs/>
          <w:sz w:val="21"/>
          <w:szCs w:val="21"/>
        </w:rPr>
        <w:t xml:space="preserve">Hi! I've finished reading Engineering_company_3yr_pnl_AS_PROVIDED_by_owner.xlsx. Before I can answer questions, I need to ask one thing — but first here's what I found.</w:t>
      </w:r>
    </w:p>
    <w:p>
      <w:pPr>
        <w:pBdr>
          <w:top w:val="single" w:color="C5D9E8" w:sz="4" w:space="4"/>
          <w:left w:val="single" w:color="C5D9E8" w:sz="4" w:space="4"/>
          <w:bottom w:val="single" w:color="C5D9E8" w:sz="4" w:space="4"/>
          <w:right w:val="single" w:color="C5D9E8" w:sz="4" w:space="4"/>
        </w:pBdr>
        <w:shd w:fill="F2F7FB" w:val="clear"/>
        <w:spacing w:after="80" w:line="280"/>
      </w:pPr>
      <w:r>
        <w:rPr>
          <w:rFonts w:ascii="Arial" w:cs="Arial" w:eastAsia="Arial" w:hAnsi="Arial"/>
          <w:b/>
          <w:bCs/>
          <w:sz w:val="21"/>
          <w:szCs w:val="21"/>
        </w:rPr>
        <w:t xml:space="preserve">WHAT I FOUND</w:t>
      </w:r>
    </w:p>
    <w:p>
      <w:pPr>
        <w:pBdr>
          <w:top w:val="single" w:color="C5D9E8" w:sz="4" w:space="4"/>
          <w:left w:val="single" w:color="C5D9E8" w:sz="4" w:space="4"/>
          <w:bottom w:val="single" w:color="C5D9E8" w:sz="4" w:space="4"/>
          <w:right w:val="single" w:color="C5D9E8" w:sz="4" w:space="4"/>
        </w:pBdr>
        <w:shd w:fill="F2F7FB" w:val="clear"/>
        <w:spacing w:after="80" w:line="280"/>
      </w:pPr>
      <w:r>
        <w:rPr>
          <w:rFonts w:ascii="Arial" w:cs="Arial" w:eastAsia="Arial" w:hAnsi="Arial"/>
          <w:sz w:val="21"/>
          <w:szCs w:val="21"/>
        </w:rPr>
        <w:t xml:space="preserve">• 3 sheets in completely different formats: a 3-year owner-summary P&amp;L, a Tally Prime export for FY24, and a top-customers list for FY24.</w:t>
      </w:r>
    </w:p>
    <w:p>
      <w:pPr>
        <w:pBdr>
          <w:top w:val="single" w:color="C5D9E8" w:sz="4" w:space="4"/>
          <w:left w:val="single" w:color="C5D9E8" w:sz="4" w:space="4"/>
          <w:bottom w:val="single" w:color="C5D9E8" w:sz="4" w:space="4"/>
          <w:right w:val="single" w:color="C5D9E8" w:sz="4" w:space="4"/>
        </w:pBdr>
        <w:shd w:fill="F2F7FB" w:val="clear"/>
        <w:spacing w:after="80" w:line="280"/>
      </w:pPr>
      <w:r>
        <w:rPr>
          <w:rFonts w:ascii="Arial" w:cs="Arial" w:eastAsia="Arial" w:hAnsi="Arial"/>
          <w:sz w:val="21"/>
          <w:szCs w:val="21"/>
        </w:rPr>
        <w:t xml:space="preserve">• Company: Krishnan Engineering Works Pvt Ltd.</w:t>
      </w:r>
    </w:p>
    <w:p>
      <w:pPr>
        <w:pBdr>
          <w:top w:val="single" w:color="C5D9E8" w:sz="4" w:space="4"/>
          <w:left w:val="single" w:color="C5D9E8" w:sz="4" w:space="4"/>
          <w:bottom w:val="single" w:color="C5D9E8" w:sz="4" w:space="4"/>
          <w:right w:val="single" w:color="C5D9E8" w:sz="4" w:space="4"/>
        </w:pBdr>
        <w:shd w:fill="F2F7FB" w:val="clear"/>
        <w:spacing w:after="80" w:line="280"/>
      </w:pPr>
      <w:r>
        <w:rPr>
          <w:rFonts w:ascii="Arial" w:cs="Arial" w:eastAsia="Arial" w:hAnsi="Arial"/>
          <w:sz w:val="21"/>
          <w:szCs w:val="21"/>
        </w:rPr>
        <w:t xml:space="preserve">• Periods covered: FY22, FY23, FY24 (Indian fiscal years ending March).</w:t>
      </w:r>
    </w:p>
    <w:p>
      <w:pPr>
        <w:pBdr>
          <w:top w:val="single" w:color="C5D9E8" w:sz="4" w:space="4"/>
          <w:left w:val="single" w:color="C5D9E8" w:sz="4" w:space="4"/>
          <w:bottom w:val="single" w:color="C5D9E8" w:sz="4" w:space="4"/>
          <w:right w:val="single" w:color="C5D9E8" w:sz="4" w:space="4"/>
        </w:pBdr>
        <w:shd w:fill="F2F7FB" w:val="clear"/>
        <w:spacing w:after="80" w:line="280"/>
      </w:pPr>
      <w:r>
        <w:rPr>
          <w:rFonts w:ascii="Arial" w:cs="Arial" w:eastAsia="Arial" w:hAnsi="Arial"/>
          <w:b/>
          <w:bCs/>
          <w:sz w:val="21"/>
          <w:szCs w:val="21"/>
        </w:rPr>
        <w:t xml:space="preserve">WHAT I ASSUMED</w:t>
      </w:r>
    </w:p>
    <w:p>
      <w:pPr>
        <w:pBdr>
          <w:top w:val="single" w:color="C5D9E8" w:sz="4" w:space="4"/>
          <w:left w:val="single" w:color="C5D9E8" w:sz="4" w:space="4"/>
          <w:bottom w:val="single" w:color="C5D9E8" w:sz="4" w:space="4"/>
          <w:right w:val="single" w:color="C5D9E8" w:sz="4" w:space="4"/>
        </w:pBdr>
        <w:shd w:fill="F2F7FB" w:val="clear"/>
        <w:spacing w:after="80" w:line="280"/>
      </w:pPr>
      <w:r>
        <w:rPr>
          <w:rFonts w:ascii="Arial" w:cs="Arial" w:eastAsia="Arial" w:hAnsi="Arial"/>
          <w:sz w:val="21"/>
          <w:szCs w:val="21"/>
        </w:rPr>
        <w:t xml:space="preserve">• The owner summary uses Rs. Crore for most values; some cells contain qualifications ("approx", "slight rounding") that I parsed as values with low-confidence flags.</w:t>
      </w:r>
    </w:p>
    <w:p>
      <w:pPr>
        <w:pBdr>
          <w:top w:val="single" w:color="C5D9E8" w:sz="4" w:space="4"/>
          <w:left w:val="single" w:color="C5D9E8" w:sz="4" w:space="4"/>
          <w:bottom w:val="single" w:color="C5D9E8" w:sz="4" w:space="4"/>
          <w:right w:val="single" w:color="C5D9E8" w:sz="4" w:space="4"/>
        </w:pBdr>
        <w:shd w:fill="F2F7FB" w:val="clear"/>
        <w:spacing w:after="80" w:line="280"/>
      </w:pPr>
      <w:r>
        <w:rPr>
          <w:rFonts w:ascii="Arial" w:cs="Arial" w:eastAsia="Arial" w:hAnsi="Arial"/>
          <w:sz w:val="21"/>
          <w:szCs w:val="21"/>
        </w:rPr>
        <w:t xml:space="preserve">• The Tally export uses absolute Rupees in a Dr/Cr ledger layout. I converted to Crore for consistency with the owner summary.</w:t>
      </w:r>
    </w:p>
    <w:p>
      <w:pPr>
        <w:pBdr>
          <w:top w:val="single" w:color="C5D9E8" w:sz="4" w:space="4"/>
          <w:left w:val="single" w:color="C5D9E8" w:sz="4" w:space="4"/>
          <w:bottom w:val="single" w:color="C5D9E8" w:sz="4" w:space="4"/>
          <w:right w:val="single" w:color="C5D9E8" w:sz="4" w:space="4"/>
        </w:pBdr>
        <w:shd w:fill="F2F7FB" w:val="clear"/>
        <w:spacing w:after="80" w:line="280"/>
      </w:pPr>
      <w:r>
        <w:rPr>
          <w:rFonts w:ascii="Arial" w:cs="Arial" w:eastAsia="Arial" w:hAnsi="Arial"/>
          <w:sz w:val="21"/>
          <w:szCs w:val="21"/>
        </w:rPr>
        <w:t xml:space="preserve">• The customer list uses absolute Rupees and decimals for percentages (e.g., 0.148 = 14.8%).</w:t>
      </w:r>
    </w:p>
    <w:p>
      <w:pPr>
        <w:pBdr>
          <w:top w:val="single" w:color="C5D9E8" w:sz="4" w:space="4"/>
          <w:left w:val="single" w:color="C5D9E8" w:sz="4" w:space="4"/>
          <w:bottom w:val="single" w:color="C5D9E8" w:sz="4" w:space="4"/>
          <w:right w:val="single" w:color="C5D9E8" w:sz="4" w:space="4"/>
        </w:pBdr>
        <w:shd w:fill="F2F7FB" w:val="clear"/>
        <w:spacing w:after="80" w:line="280"/>
      </w:pPr>
      <w:r>
        <w:rPr>
          <w:rFonts w:ascii="Arial" w:cs="Arial" w:eastAsia="Arial" w:hAnsi="Arial"/>
          <w:sz w:val="21"/>
          <w:szCs w:val="21"/>
        </w:rPr>
        <w:t xml:space="preserve">• The Tally export's Dr and Cr totals don't balance (959.22 Cr vs 1,371.04 Cr) — this looks like an incomplete export. I've flagged it but used the line items rather than the totals.</w:t>
      </w:r>
    </w:p>
    <w:p>
      <w:pPr>
        <w:pBdr>
          <w:top w:val="single" w:color="C5D9E8" w:sz="4" w:space="4"/>
          <w:left w:val="single" w:color="C5D9E8" w:sz="4" w:space="4"/>
          <w:bottom w:val="single" w:color="C5D9E8" w:sz="4" w:space="4"/>
          <w:right w:val="single" w:color="C5D9E8" w:sz="4" w:space="4"/>
        </w:pBdr>
        <w:shd w:fill="F2F7FB" w:val="clear"/>
        <w:spacing w:after="80" w:line="280"/>
      </w:pPr>
      <w:r>
        <w:rPr>
          <w:rFonts w:ascii="Arial" w:cs="Arial" w:eastAsia="Arial" w:hAnsi="Arial"/>
          <w:b/>
          <w:bCs/>
          <w:sz w:val="21"/>
          <w:szCs w:val="21"/>
        </w:rPr>
        <w:t xml:space="preserve">WHAT I DERIVED</w:t>
      </w:r>
    </w:p>
    <w:p>
      <w:pPr>
        <w:pBdr>
          <w:top w:val="single" w:color="C5D9E8" w:sz="4" w:space="4"/>
          <w:left w:val="single" w:color="C5D9E8" w:sz="4" w:space="4"/>
          <w:bottom w:val="single" w:color="C5D9E8" w:sz="4" w:space="4"/>
          <w:right w:val="single" w:color="C5D9E8" w:sz="4" w:space="4"/>
        </w:pBdr>
        <w:shd w:fill="F2F7FB" w:val="clear"/>
        <w:spacing w:after="80" w:line="280"/>
      </w:pPr>
      <w:r>
        <w:rPr>
          <w:rFonts w:ascii="Arial" w:cs="Arial" w:eastAsia="Arial" w:hAnsi="Arial"/>
          <w:sz w:val="21"/>
          <w:szCs w:val="21"/>
        </w:rPr>
        <w:t xml:space="preserve">• 3-year turnover, COGS, gross margin, PBT, PAT (per the owner summary).</w:t>
      </w:r>
    </w:p>
    <w:p>
      <w:pPr>
        <w:pBdr>
          <w:top w:val="single" w:color="C5D9E8" w:sz="4" w:space="4"/>
          <w:left w:val="single" w:color="C5D9E8" w:sz="4" w:space="4"/>
          <w:bottom w:val="single" w:color="C5D9E8" w:sz="4" w:space="4"/>
          <w:right w:val="single" w:color="C5D9E8" w:sz="4" w:space="4"/>
        </w:pBdr>
        <w:shd w:fill="F2F7FB" w:val="clear"/>
        <w:spacing w:after="80" w:line="280"/>
      </w:pPr>
      <w:r>
        <w:rPr>
          <w:rFonts w:ascii="Arial" w:cs="Arial" w:eastAsia="Arial" w:hAnsi="Arial"/>
          <w:sz w:val="21"/>
          <w:szCs w:val="21"/>
        </w:rPr>
        <w:t xml:space="preserve">• Customer concentration (Top 10 = 60% of FY24 revenue per the customer list).</w:t>
      </w:r>
    </w:p>
    <w:p>
      <w:pPr>
        <w:pBdr>
          <w:top w:val="single" w:color="C5D9E8" w:sz="4" w:space="4"/>
          <w:left w:val="single" w:color="C5D9E8" w:sz="4" w:space="4"/>
          <w:bottom w:val="single" w:color="C5D9E8" w:sz="4" w:space="4"/>
          <w:right w:val="single" w:color="C5D9E8" w:sz="4" w:space="4"/>
        </w:pBdr>
        <w:shd w:fill="F2F7FB" w:val="clear"/>
        <w:spacing w:after="80" w:line="280"/>
      </w:pPr>
      <w:r>
        <w:rPr>
          <w:rFonts w:ascii="Arial" w:cs="Arial" w:eastAsia="Arial" w:hAnsi="Arial"/>
          <w:sz w:val="21"/>
          <w:szCs w:val="21"/>
        </w:rPr>
        <w:t xml:space="preserve">• I cannot derive EBITDA cleanly because the owner summary doesn't separate D&amp;A from other line items in a consistent way across years. I'll only return EBITDA if you ask for a specific year where the data is clean.</w:t>
      </w:r>
    </w:p>
    <w:p>
      <w:pPr>
        <w:pBdr>
          <w:top w:val="single" w:color="C5D9E8" w:sz="4" w:space="4"/>
          <w:left w:val="single" w:color="C5D9E8" w:sz="4" w:space="4"/>
          <w:bottom w:val="single" w:color="C5D9E8" w:sz="4" w:space="4"/>
          <w:right w:val="single" w:color="C5D9E8" w:sz="4" w:space="4"/>
        </w:pBdr>
        <w:shd w:fill="F2F7FB" w:val="clear"/>
        <w:spacing w:after="80" w:line="280"/>
      </w:pPr>
      <w:r>
        <w:rPr>
          <w:rFonts w:ascii="Arial" w:cs="Arial" w:eastAsia="Arial" w:hAnsi="Arial"/>
          <w:b/>
          <w:bCs/>
          <w:sz w:val="21"/>
          <w:szCs w:val="21"/>
        </w:rPr>
        <w:t xml:space="preserve">WHAT I NEED FROM YOU — 1 question</w:t>
      </w:r>
    </w:p>
    <w:p>
      <w:pPr>
        <w:pBdr>
          <w:top w:val="single" w:color="C5D9E8" w:sz="4" w:space="4"/>
          <w:left w:val="single" w:color="C5D9E8" w:sz="4" w:space="4"/>
          <w:bottom w:val="single" w:color="C5D9E8" w:sz="4" w:space="4"/>
          <w:right w:val="single" w:color="C5D9E8" w:sz="4" w:space="4"/>
        </w:pBdr>
        <w:shd w:fill="F2F7FB" w:val="clear"/>
        <w:spacing w:after="80" w:line="280"/>
      </w:pPr>
      <w:r>
        <w:rPr>
          <w:rFonts w:ascii="Arial" w:cs="Arial" w:eastAsia="Arial" w:hAnsi="Arial"/>
          <w:b/>
          <w:bCs/>
          <w:sz w:val="21"/>
          <w:szCs w:val="21"/>
        </w:rPr>
        <w:t xml:space="preserve">• Three sheets in this file report FY24 net turnover differently:</w:t>
      </w:r>
    </w:p>
    <w:p>
      <w:pPr>
        <w:pBdr>
          <w:top w:val="single" w:color="C5D9E8" w:sz="4" w:space="4"/>
          <w:left w:val="single" w:color="C5D9E8" w:sz="4" w:space="4"/>
          <w:bottom w:val="single" w:color="C5D9E8" w:sz="4" w:space="4"/>
          <w:right w:val="single" w:color="C5D9E8" w:sz="4" w:space="4"/>
        </w:pBdr>
        <w:shd w:fill="F2F7FB" w:val="clear"/>
        <w:spacing w:after="80" w:line="280"/>
      </w:pPr>
      <w:r>
        <w:rPr>
          <w:rFonts w:ascii="Arial" w:cs="Arial" w:eastAsia="Arial" w:hAnsi="Arial"/>
          <w:sz w:val="21"/>
          <w:szCs w:val="21"/>
        </w:rPr>
        <w:t xml:space="preserve">  – ₹114.24 Cr — owner's 3-year summary, marked "net of GST"</w:t>
      </w:r>
    </w:p>
    <w:p>
      <w:pPr>
        <w:pBdr>
          <w:top w:val="single" w:color="C5D9E8" w:sz="4" w:space="4"/>
          <w:left w:val="single" w:color="C5D9E8" w:sz="4" w:space="4"/>
          <w:bottom w:val="single" w:color="C5D9E8" w:sz="4" w:space="4"/>
          <w:right w:val="single" w:color="C5D9E8" w:sz="4" w:space="4"/>
        </w:pBdr>
        <w:shd w:fill="F2F7FB" w:val="clear"/>
        <w:spacing w:after="80" w:line="280"/>
      </w:pPr>
      <w:r>
        <w:rPr>
          <w:rFonts w:ascii="Arial" w:cs="Arial" w:eastAsia="Arial" w:hAnsi="Arial"/>
          <w:sz w:val="21"/>
          <w:szCs w:val="21"/>
        </w:rPr>
        <w:t xml:space="preserve">  – ₹134.24 Cr — Tally export (Domestic ₹124.84 Cr + Export ₹9.40 Cr)</w:t>
      </w:r>
    </w:p>
    <w:p>
      <w:pPr>
        <w:pBdr>
          <w:top w:val="single" w:color="C5D9E8" w:sz="4" w:space="4"/>
          <w:left w:val="single" w:color="C5D9E8" w:sz="4" w:space="4"/>
          <w:bottom w:val="single" w:color="C5D9E8" w:sz="4" w:space="4"/>
          <w:right w:val="single" w:color="C5D9E8" w:sz="4" w:space="4"/>
        </w:pBdr>
        <w:shd w:fill="F2F7FB" w:val="clear"/>
        <w:spacing w:after="80" w:line="280"/>
      </w:pPr>
      <w:r>
        <w:rPr>
          <w:rFonts w:ascii="Arial" w:cs="Arial" w:eastAsia="Arial" w:hAnsi="Arial"/>
          <w:sz w:val="21"/>
          <w:szCs w:val="21"/>
        </w:rPr>
        <w:t xml:space="preserve">  – ₹124.28 Cr — customer-list total</w:t>
      </w:r>
    </w:p>
    <w:p>
      <w:pPr>
        <w:pBdr>
          <w:top w:val="single" w:color="C5D9E8" w:sz="4" w:space="4"/>
          <w:left w:val="single" w:color="C5D9E8" w:sz="4" w:space="4"/>
          <w:bottom w:val="single" w:color="C5D9E8" w:sz="4" w:space="4"/>
          <w:right w:val="single" w:color="C5D9E8" w:sz="4" w:space="4"/>
        </w:pBdr>
        <w:shd w:fill="F2F7FB" w:val="clear"/>
        <w:spacing w:after="80" w:line="280"/>
      </w:pPr>
      <w:r>
        <w:rPr>
          <w:rFonts w:ascii="Arial" w:cs="Arial" w:eastAsia="Arial" w:hAnsi="Arial"/>
          <w:b/>
          <w:bCs/>
          <w:sz w:val="21"/>
          <w:szCs w:val="21"/>
        </w:rPr>
        <w:t xml:space="preserve">  Which should I use as FY24 turnover for this session?</w:t>
      </w:r>
    </w:p>
    <w:p>
      <w:pPr>
        <w:pBdr>
          <w:top w:val="single" w:color="C5D9E8" w:sz="4" w:space="4"/>
          <w:left w:val="single" w:color="C5D9E8" w:sz="4" w:space="4"/>
          <w:bottom w:val="single" w:color="C5D9E8" w:sz="4" w:space="4"/>
          <w:right w:val="single" w:color="C5D9E8" w:sz="4" w:space="4"/>
        </w:pBdr>
        <w:shd w:fill="F2F7FB" w:val="clear"/>
        <w:spacing w:after="80" w:line="280"/>
      </w:pPr>
      <w:r>
        <w:rPr>
          <w:rFonts w:ascii="Arial" w:cs="Arial" w:eastAsia="Arial" w:hAnsi="Arial"/>
          <w:sz w:val="21"/>
          <w:szCs w:val="21"/>
        </w:rPr>
        <w:t xml:space="preserve">    [A] Owner summary (₹114.24 Cr)</w:t>
      </w:r>
    </w:p>
    <w:p>
      <w:pPr>
        <w:pBdr>
          <w:top w:val="single" w:color="C5D9E8" w:sz="4" w:space="4"/>
          <w:left w:val="single" w:color="C5D9E8" w:sz="4" w:space="4"/>
          <w:bottom w:val="single" w:color="C5D9E8" w:sz="4" w:space="4"/>
          <w:right w:val="single" w:color="C5D9E8" w:sz="4" w:space="4"/>
        </w:pBdr>
        <w:shd w:fill="F2F7FB" w:val="clear"/>
        <w:spacing w:after="80" w:line="280"/>
      </w:pPr>
      <w:r>
        <w:rPr>
          <w:rFonts w:ascii="Arial" w:cs="Arial" w:eastAsia="Arial" w:hAnsi="Arial"/>
          <w:sz w:val="21"/>
          <w:szCs w:val="21"/>
        </w:rPr>
        <w:t xml:space="preserve">    [B] Tally export (₹134.24 Cr)</w:t>
      </w:r>
    </w:p>
    <w:p>
      <w:pPr>
        <w:pBdr>
          <w:top w:val="single" w:color="C5D9E8" w:sz="4" w:space="4"/>
          <w:left w:val="single" w:color="C5D9E8" w:sz="4" w:space="4"/>
          <w:bottom w:val="single" w:color="C5D9E8" w:sz="4" w:space="4"/>
          <w:right w:val="single" w:color="C5D9E8" w:sz="4" w:space="4"/>
        </w:pBdr>
        <w:shd w:fill="F2F7FB" w:val="clear"/>
        <w:spacing w:after="80" w:line="280"/>
      </w:pPr>
      <w:r>
        <w:rPr>
          <w:rFonts w:ascii="Arial" w:cs="Arial" w:eastAsia="Arial" w:hAnsi="Arial"/>
          <w:sz w:val="21"/>
          <w:szCs w:val="21"/>
        </w:rPr>
        <w:t xml:space="preserve">    [C] Customer list (₹124.28 Cr)</w:t>
      </w:r>
    </w:p>
    <w:p>
      <w:pPr>
        <w:pBdr>
          <w:top w:val="single" w:color="C5D9E8" w:sz="4" w:space="4"/>
          <w:left w:val="single" w:color="C5D9E8" w:sz="4" w:space="4"/>
          <w:bottom w:val="single" w:color="C5D9E8" w:sz="4" w:space="4"/>
          <w:right w:val="single" w:color="C5D9E8" w:sz="4" w:space="4"/>
        </w:pBdr>
        <w:shd w:fill="F2F7FB" w:val="clear"/>
        <w:spacing w:after="80" w:line="280"/>
      </w:pPr>
      <w:r>
        <w:rPr>
          <w:rFonts w:ascii="Arial" w:cs="Arial" w:eastAsia="Arial" w:hAnsi="Arial"/>
          <w:sz w:val="21"/>
          <w:szCs w:val="21"/>
        </w:rPr>
        <w:t xml:space="preserve">    [D] Show all three in every answer (no single source-of-truth)</w:t>
      </w:r>
    </w:p>
    <w:p>
      <w:pPr>
        <w:pBdr>
          <w:top w:val="single" w:color="C5D9E8" w:sz="4" w:space="4"/>
          <w:left w:val="single" w:color="C5D9E8" w:sz="4" w:space="4"/>
          <w:bottom w:val="single" w:color="C5D9E8" w:sz="4" w:space="4"/>
          <w:right w:val="single" w:color="C5D9E8" w:sz="4" w:space="4"/>
        </w:pBdr>
        <w:shd w:fill="F2F7FB" w:val="clear"/>
        <w:spacing w:after="80" w:line="280"/>
      </w:pPr>
      <w:r>
        <w:rPr>
          <w:rFonts w:ascii="Arial" w:cs="Arial" w:eastAsia="Arial" w:hAnsi="Arial"/>
          <w:i/>
          <w:iCs/>
          <w:sz w:val="21"/>
          <w:szCs w:val="21"/>
        </w:rPr>
        <w:t xml:space="preserve">Once you answer, your choice is locked in for this session and used in every relevant answer with full citation. You can re-upload the file to reset.</w:t>
      </w:r>
    </w:p>
    <w:p>
      <w:pPr>
        <w:pStyle w:val="Heading2"/>
        <w:spacing w:after="120" w:before="220"/>
      </w:pPr>
      <w:r>
        <w:rPr>
          <w:rFonts w:ascii="Arial" w:cs="Arial" w:eastAsia="Arial" w:hAnsi="Arial"/>
          <w:b/>
          <w:bCs/>
          <w:sz w:val="26"/>
          <w:szCs w:val="26"/>
        </w:rPr>
        <w:t xml:space="preserve">7.6 The "Show Your Work" Affordance in Chat</w:t>
      </w:r>
    </w:p>
    <w:p>
      <w:pPr>
        <w:spacing w:after="120" w:line="300"/>
      </w:pPr>
      <w:r>
        <w:rPr>
          <w:rFonts w:ascii="Arial" w:cs="Arial" w:eastAsia="Arial" w:hAnsi="Arial"/>
          <w:sz w:val="22"/>
          <w:szCs w:val="22"/>
        </w:rPr>
        <w:t xml:space="preserve">Every numerical answer in the chat UI is expandable. Expanding reveals: (1) the tool call that produced it, (2) the citation envelope of every input, (3) any unit conversions, (4) the formula applied for derived metrics, (5) reconciliation status ("sourced from option [B] you chose during onboarding"). For non-technical users, the expansion is rendered as a friendly explanation, not raw JSON: "This came from cell B8 of the 'Other Exp Detail' sheet, where the value 2,845,000 was in absolute Rupees — I converted to ₹28.45 Lakhs to match the rest of the sheet."</w:t>
      </w:r>
    </w:p>
    <w:p>
      <w:pPr>
        <w:pStyle w:val="Heading2"/>
        <w:spacing w:after="120" w:before="220"/>
      </w:pPr>
      <w:r>
        <w:rPr>
          <w:rFonts w:ascii="Arial" w:cs="Arial" w:eastAsia="Arial" w:hAnsi="Arial"/>
          <w:b/>
          <w:bCs/>
          <w:sz w:val="26"/>
          <w:szCs w:val="26"/>
        </w:rPr>
        <w:t xml:space="preserve">7.7 Acknowledgment &amp; State Transitions</w:t>
      </w:r>
    </w:p>
    <w:p>
      <w:pPr>
        <w:spacing w:after="120" w:line="300"/>
      </w:pPr>
      <w:r>
        <w:rPr>
          <w:rFonts w:ascii="Arial" w:cs="Arial" w:eastAsia="Arial" w:hAnsi="Arial"/>
          <w:sz w:val="22"/>
          <w:szCs w:val="22"/>
        </w:rPr>
        <w:t xml:space="preserve">The chat interface tracks ingestion state per 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200"/>
        <w:gridCol w:w="1960"/>
      </w:tblGrid>
      <w:tr>
        <w:trPr>
          <w:tblHeader/>
        </w:trPr>
        <w:tc>
          <w:tcPr>
            <w:tcW w:type="dxa" w:w="2200"/>
            <w:tcBorders>
              <w:top w:val="single" w:color="BFBFBF" w:sz="6"/>
              <w:left w:val="single" w:color="BFBFBF" w:sz="6"/>
              <w:bottom w:val="single" w:color="BFBFBF" w:sz="6"/>
              <w:right w:val="single" w:color="BFBFBF" w:sz="6"/>
            </w:tcBorders>
            <w:shd w:fill="1F3864" w:val="clear"/>
            <w:tcMar>
              <w:top w:type="dxa" w:w="100"/>
              <w:left w:type="dxa" w:w="140"/>
              <w:bottom w:type="dxa" w:w="100"/>
              <w:right w:type="dxa" w:w="140"/>
            </w:tcMar>
          </w:tcPr>
          <w:p>
            <w:pPr>
              <w:spacing w:after="0"/>
            </w:pPr>
            <w:r>
              <w:rPr>
                <w:rFonts w:ascii="Arial" w:cs="Arial" w:eastAsia="Arial" w:hAnsi="Arial"/>
                <w:b/>
                <w:bCs/>
                <w:color w:val="FFFFFF"/>
                <w:sz w:val="21"/>
                <w:szCs w:val="21"/>
              </w:rPr>
              <w:t xml:space="preserve">State</w:t>
            </w:r>
          </w:p>
        </w:tc>
        <w:tc>
          <w:tcPr>
            <w:tcW w:type="dxa" w:w="5200"/>
            <w:tcBorders>
              <w:top w:val="single" w:color="BFBFBF" w:sz="6"/>
              <w:left w:val="single" w:color="BFBFBF" w:sz="6"/>
              <w:bottom w:val="single" w:color="BFBFBF" w:sz="6"/>
              <w:right w:val="single" w:color="BFBFBF" w:sz="6"/>
            </w:tcBorders>
            <w:shd w:fill="1F3864" w:val="clear"/>
            <w:tcMar>
              <w:top w:type="dxa" w:w="100"/>
              <w:left w:type="dxa" w:w="140"/>
              <w:bottom w:type="dxa" w:w="100"/>
              <w:right w:type="dxa" w:w="140"/>
            </w:tcMar>
          </w:tcPr>
          <w:p>
            <w:pPr>
              <w:spacing w:after="0"/>
            </w:pPr>
            <w:r>
              <w:rPr>
                <w:rFonts w:ascii="Arial" w:cs="Arial" w:eastAsia="Arial" w:hAnsi="Arial"/>
                <w:b/>
                <w:bCs/>
                <w:color w:val="FFFFFF"/>
                <w:sz w:val="21"/>
                <w:szCs w:val="21"/>
              </w:rPr>
              <w:t xml:space="preserve">Bot behavior</w:t>
            </w:r>
          </w:p>
        </w:tc>
        <w:tc>
          <w:tcPr>
            <w:tcW w:type="dxa" w:w="1960"/>
            <w:tcBorders>
              <w:top w:val="single" w:color="BFBFBF" w:sz="6"/>
              <w:left w:val="single" w:color="BFBFBF" w:sz="6"/>
              <w:bottom w:val="single" w:color="BFBFBF" w:sz="6"/>
              <w:right w:val="single" w:color="BFBFBF" w:sz="6"/>
            </w:tcBorders>
            <w:shd w:fill="1F3864" w:val="clear"/>
            <w:tcMar>
              <w:top w:type="dxa" w:w="100"/>
              <w:left w:type="dxa" w:w="140"/>
              <w:bottom w:type="dxa" w:w="100"/>
              <w:right w:type="dxa" w:w="140"/>
            </w:tcMar>
          </w:tcPr>
          <w:p>
            <w:pPr>
              <w:spacing w:after="0"/>
            </w:pPr>
            <w:r>
              <w:rPr>
                <w:rFonts w:ascii="Arial" w:cs="Arial" w:eastAsia="Arial" w:hAnsi="Arial"/>
                <w:b/>
                <w:bCs/>
                <w:color w:val="FFFFFF"/>
                <w:sz w:val="21"/>
                <w:szCs w:val="21"/>
              </w:rPr>
              <w:t xml:space="preserve">User can ask questions?</w:t>
            </w:r>
          </w:p>
        </w:tc>
      </w:tr>
      <w:tr>
        <w:tc>
          <w:tcPr>
            <w:tcW w:type="dxa" w:w="2200"/>
            <w:tcBorders>
              <w:top w:val="single" w:color="BFBFBF" w:sz="6"/>
              <w:left w:val="single" w:color="BFBFBF" w:sz="6"/>
              <w:bottom w:val="single" w:color="BFBFBF" w:sz="6"/>
              <w:right w:val="single" w:color="BFBFBF" w:sz="6"/>
            </w:tcBorders>
            <w:tcMar>
              <w:top w:type="dxa" w:w="90"/>
              <w:left w:type="dxa" w:w="140"/>
              <w:bottom w:type="dxa" w:w="90"/>
              <w:right w:type="dxa" w:w="140"/>
            </w:tcMar>
          </w:tcPr>
          <w:p>
            <w:pPr>
              <w:spacing w:after="0"/>
            </w:pPr>
            <w:r>
              <w:rPr>
                <w:rFonts w:ascii="Arial" w:cs="Arial" w:eastAsia="Arial" w:hAnsi="Arial"/>
                <w:sz w:val="20"/>
                <w:szCs w:val="20"/>
              </w:rPr>
              <w:t xml:space="preserve">UPLOADED</w:t>
            </w:r>
          </w:p>
        </w:tc>
        <w:tc>
          <w:tcPr>
            <w:tcW w:type="dxa" w:w="5200"/>
            <w:tcBorders>
              <w:top w:val="single" w:color="BFBFBF" w:sz="6"/>
              <w:left w:val="single" w:color="BFBFBF" w:sz="6"/>
              <w:bottom w:val="single" w:color="BFBFBF" w:sz="6"/>
              <w:right w:val="single" w:color="BFBFBF" w:sz="6"/>
            </w:tcBorders>
            <w:tcMar>
              <w:top w:type="dxa" w:w="90"/>
              <w:left w:type="dxa" w:w="140"/>
              <w:bottom w:type="dxa" w:w="90"/>
              <w:right w:type="dxa" w:w="140"/>
            </w:tcMar>
          </w:tcPr>
          <w:p>
            <w:pPr>
              <w:spacing w:after="0"/>
            </w:pPr>
            <w:r>
              <w:rPr>
                <w:rFonts w:ascii="Arial" w:cs="Arial" w:eastAsia="Arial" w:hAnsi="Arial"/>
                <w:sz w:val="20"/>
                <w:szCs w:val="20"/>
              </w:rPr>
              <w:t xml:space="preserve">Working — generating onboarding message</w:t>
            </w:r>
          </w:p>
        </w:tc>
        <w:tc>
          <w:tcPr>
            <w:tcW w:type="dxa" w:w="1960"/>
            <w:tcBorders>
              <w:top w:val="single" w:color="BFBFBF" w:sz="6"/>
              <w:left w:val="single" w:color="BFBFBF" w:sz="6"/>
              <w:bottom w:val="single" w:color="BFBFBF" w:sz="6"/>
              <w:right w:val="single" w:color="BFBFBF" w:sz="6"/>
            </w:tcBorders>
            <w:tcMar>
              <w:top w:type="dxa" w:w="90"/>
              <w:left w:type="dxa" w:w="140"/>
              <w:bottom w:type="dxa" w:w="90"/>
              <w:right w:type="dxa" w:w="140"/>
            </w:tcMar>
          </w:tcPr>
          <w:p>
            <w:pPr>
              <w:spacing w:after="0"/>
            </w:pPr>
            <w:r>
              <w:rPr>
                <w:rFonts w:ascii="Arial" w:cs="Arial" w:eastAsia="Arial" w:hAnsi="Arial"/>
                <w:sz w:val="20"/>
                <w:szCs w:val="20"/>
              </w:rPr>
              <w:t xml:space="preserve">No — bot replies "still reading the file, give me a moment"</w:t>
            </w:r>
          </w:p>
        </w:tc>
      </w:tr>
      <w:tr>
        <w:tc>
          <w:tcPr>
            <w:tcW w:type="dxa" w:w="2200"/>
            <w:tcBorders>
              <w:top w:val="single" w:color="BFBFBF" w:sz="6"/>
              <w:left w:val="single" w:color="BFBFBF" w:sz="6"/>
              <w:bottom w:val="single" w:color="BFBFBF" w:sz="6"/>
              <w:right w:val="single" w:color="BFBFBF" w:sz="6"/>
            </w:tcBorders>
            <w:shd w:fill="F2F2F2" w:val="clear"/>
            <w:tcMar>
              <w:top w:type="dxa" w:w="90"/>
              <w:left w:type="dxa" w:w="140"/>
              <w:bottom w:type="dxa" w:w="90"/>
              <w:right w:type="dxa" w:w="140"/>
            </w:tcMar>
          </w:tcPr>
          <w:p>
            <w:pPr>
              <w:spacing w:after="0"/>
            </w:pPr>
            <w:r>
              <w:rPr>
                <w:rFonts w:ascii="Arial" w:cs="Arial" w:eastAsia="Arial" w:hAnsi="Arial"/>
                <w:sz w:val="20"/>
                <w:szCs w:val="20"/>
              </w:rPr>
              <w:t xml:space="preserve">AWAITING_CONFLICT_RESOLUTION</w:t>
            </w:r>
          </w:p>
        </w:tc>
        <w:tc>
          <w:tcPr>
            <w:tcW w:type="dxa" w:w="5200"/>
            <w:tcBorders>
              <w:top w:val="single" w:color="BFBFBF" w:sz="6"/>
              <w:left w:val="single" w:color="BFBFBF" w:sz="6"/>
              <w:bottom w:val="single" w:color="BFBFBF" w:sz="6"/>
              <w:right w:val="single" w:color="BFBFBF" w:sz="6"/>
            </w:tcBorders>
            <w:shd w:fill="F2F2F2" w:val="clear"/>
            <w:tcMar>
              <w:top w:type="dxa" w:w="90"/>
              <w:left w:type="dxa" w:w="140"/>
              <w:bottom w:type="dxa" w:w="90"/>
              <w:right w:type="dxa" w:w="140"/>
            </w:tcMar>
          </w:tcPr>
          <w:p>
            <w:pPr>
              <w:spacing w:after="0"/>
            </w:pPr>
            <w:r>
              <w:rPr>
                <w:rFonts w:ascii="Arial" w:cs="Arial" w:eastAsia="Arial" w:hAnsi="Arial"/>
                <w:sz w:val="20"/>
                <w:szCs w:val="20"/>
              </w:rPr>
              <w:t xml:space="preserve">Onboarding message sent; waiting for answers to blocking questions</w:t>
            </w:r>
          </w:p>
        </w:tc>
        <w:tc>
          <w:tcPr>
            <w:tcW w:type="dxa" w:w="1960"/>
            <w:tcBorders>
              <w:top w:val="single" w:color="BFBFBF" w:sz="6"/>
              <w:left w:val="single" w:color="BFBFBF" w:sz="6"/>
              <w:bottom w:val="single" w:color="BFBFBF" w:sz="6"/>
              <w:right w:val="single" w:color="BFBFBF" w:sz="6"/>
            </w:tcBorders>
            <w:shd w:fill="F2F2F2" w:val="clear"/>
            <w:tcMar>
              <w:top w:type="dxa" w:w="90"/>
              <w:left w:type="dxa" w:w="140"/>
              <w:bottom w:type="dxa" w:w="90"/>
              <w:right w:type="dxa" w:w="140"/>
            </w:tcMar>
          </w:tcPr>
          <w:p>
            <w:pPr>
              <w:spacing w:after="0"/>
            </w:pPr>
            <w:r>
              <w:rPr>
                <w:rFonts w:ascii="Arial" w:cs="Arial" w:eastAsia="Arial" w:hAnsi="Arial"/>
                <w:sz w:val="20"/>
                <w:szCs w:val="20"/>
              </w:rPr>
              <w:t xml:space="preserve">No — bot redirects to the open question</w:t>
            </w:r>
          </w:p>
        </w:tc>
      </w:tr>
      <w:tr>
        <w:tc>
          <w:tcPr>
            <w:tcW w:type="dxa" w:w="2200"/>
            <w:tcBorders>
              <w:top w:val="single" w:color="BFBFBF" w:sz="6"/>
              <w:left w:val="single" w:color="BFBFBF" w:sz="6"/>
              <w:bottom w:val="single" w:color="BFBFBF" w:sz="6"/>
              <w:right w:val="single" w:color="BFBFBF" w:sz="6"/>
            </w:tcBorders>
            <w:tcMar>
              <w:top w:type="dxa" w:w="90"/>
              <w:left w:type="dxa" w:w="140"/>
              <w:bottom w:type="dxa" w:w="90"/>
              <w:right w:type="dxa" w:w="140"/>
            </w:tcMar>
          </w:tcPr>
          <w:p>
            <w:pPr>
              <w:spacing w:after="0"/>
            </w:pPr>
            <w:r>
              <w:rPr>
                <w:rFonts w:ascii="Arial" w:cs="Arial" w:eastAsia="Arial" w:hAnsi="Arial"/>
                <w:sz w:val="20"/>
                <w:szCs w:val="20"/>
              </w:rPr>
              <w:t xml:space="preserve">AWAITING_ACKNOWLEDGMENT</w:t>
            </w:r>
          </w:p>
        </w:tc>
        <w:tc>
          <w:tcPr>
            <w:tcW w:type="dxa" w:w="5200"/>
            <w:tcBorders>
              <w:top w:val="single" w:color="BFBFBF" w:sz="6"/>
              <w:left w:val="single" w:color="BFBFBF" w:sz="6"/>
              <w:bottom w:val="single" w:color="BFBFBF" w:sz="6"/>
              <w:right w:val="single" w:color="BFBFBF" w:sz="6"/>
            </w:tcBorders>
            <w:tcMar>
              <w:top w:type="dxa" w:w="90"/>
              <w:left w:type="dxa" w:w="140"/>
              <w:bottom w:type="dxa" w:w="90"/>
              <w:right w:type="dxa" w:w="140"/>
            </w:tcMar>
          </w:tcPr>
          <w:p>
            <w:pPr>
              <w:spacing w:after="0"/>
            </w:pPr>
            <w:r>
              <w:rPr>
                <w:rFonts w:ascii="Arial" w:cs="Arial" w:eastAsia="Arial" w:hAnsi="Arial"/>
                <w:sz w:val="20"/>
                <w:szCs w:val="20"/>
              </w:rPr>
              <w:t xml:space="preserve">Conflicts resolved; waiting for user to confirm</w:t>
            </w:r>
          </w:p>
        </w:tc>
        <w:tc>
          <w:tcPr>
            <w:tcW w:type="dxa" w:w="1960"/>
            <w:tcBorders>
              <w:top w:val="single" w:color="BFBFBF" w:sz="6"/>
              <w:left w:val="single" w:color="BFBFBF" w:sz="6"/>
              <w:bottom w:val="single" w:color="BFBFBF" w:sz="6"/>
              <w:right w:val="single" w:color="BFBFBF" w:sz="6"/>
            </w:tcBorders>
            <w:tcMar>
              <w:top w:type="dxa" w:w="90"/>
              <w:left w:type="dxa" w:w="140"/>
              <w:bottom w:type="dxa" w:w="90"/>
              <w:right w:type="dxa" w:w="140"/>
            </w:tcMar>
          </w:tcPr>
          <w:p>
            <w:pPr>
              <w:spacing w:after="0"/>
            </w:pPr>
            <w:r>
              <w:rPr>
                <w:rFonts w:ascii="Arial" w:cs="Arial" w:eastAsia="Arial" w:hAnsi="Arial"/>
                <w:sz w:val="20"/>
                <w:szCs w:val="20"/>
              </w:rPr>
              <w:t xml:space="preserve">No — bot redirects to the acknowledgment prompt</w:t>
            </w:r>
          </w:p>
        </w:tc>
      </w:tr>
      <w:tr>
        <w:tc>
          <w:tcPr>
            <w:tcW w:type="dxa" w:w="2200"/>
            <w:tcBorders>
              <w:top w:val="single" w:color="BFBFBF" w:sz="6"/>
              <w:left w:val="single" w:color="BFBFBF" w:sz="6"/>
              <w:bottom w:val="single" w:color="BFBFBF" w:sz="6"/>
              <w:right w:val="single" w:color="BFBFBF" w:sz="6"/>
            </w:tcBorders>
            <w:shd w:fill="F2F2F2" w:val="clear"/>
            <w:tcMar>
              <w:top w:type="dxa" w:w="90"/>
              <w:left w:type="dxa" w:w="140"/>
              <w:bottom w:type="dxa" w:w="90"/>
              <w:right w:type="dxa" w:w="140"/>
            </w:tcMar>
          </w:tcPr>
          <w:p>
            <w:pPr>
              <w:spacing w:after="0"/>
            </w:pPr>
            <w:r>
              <w:rPr>
                <w:rFonts w:ascii="Arial" w:cs="Arial" w:eastAsia="Arial" w:hAnsi="Arial"/>
                <w:sz w:val="20"/>
                <w:szCs w:val="20"/>
              </w:rPr>
              <w:t xml:space="preserve">LIVE</w:t>
            </w:r>
          </w:p>
        </w:tc>
        <w:tc>
          <w:tcPr>
            <w:tcW w:type="dxa" w:w="5200"/>
            <w:tcBorders>
              <w:top w:val="single" w:color="BFBFBF" w:sz="6"/>
              <w:left w:val="single" w:color="BFBFBF" w:sz="6"/>
              <w:bottom w:val="single" w:color="BFBFBF" w:sz="6"/>
              <w:right w:val="single" w:color="BFBFBF" w:sz="6"/>
            </w:tcBorders>
            <w:shd w:fill="F2F2F2" w:val="clear"/>
            <w:tcMar>
              <w:top w:type="dxa" w:w="90"/>
              <w:left w:type="dxa" w:w="140"/>
              <w:bottom w:type="dxa" w:w="90"/>
              <w:right w:type="dxa" w:w="140"/>
            </w:tcMar>
          </w:tcPr>
          <w:p>
            <w:pPr>
              <w:spacing w:after="0"/>
            </w:pPr>
            <w:r>
              <w:rPr>
                <w:rFonts w:ascii="Arial" w:cs="Arial" w:eastAsia="Arial" w:hAnsi="Arial"/>
                <w:sz w:val="20"/>
                <w:szCs w:val="20"/>
              </w:rPr>
              <w:t xml:space="preserve">Facts queryable; normal Q&amp;A operation</w:t>
            </w:r>
          </w:p>
        </w:tc>
        <w:tc>
          <w:tcPr>
            <w:tcW w:type="dxa" w:w="1960"/>
            <w:tcBorders>
              <w:top w:val="single" w:color="BFBFBF" w:sz="6"/>
              <w:left w:val="single" w:color="BFBFBF" w:sz="6"/>
              <w:bottom w:val="single" w:color="BFBFBF" w:sz="6"/>
              <w:right w:val="single" w:color="BFBFBF" w:sz="6"/>
            </w:tcBorders>
            <w:shd w:fill="F2F2F2" w:val="clear"/>
            <w:tcMar>
              <w:top w:type="dxa" w:w="90"/>
              <w:left w:type="dxa" w:w="140"/>
              <w:bottom w:type="dxa" w:w="90"/>
              <w:right w:type="dxa" w:w="140"/>
            </w:tcMar>
          </w:tcPr>
          <w:p>
            <w:pPr>
              <w:spacing w:after="0"/>
            </w:pPr>
            <w:r>
              <w:rPr>
                <w:rFonts w:ascii="Arial" w:cs="Arial" w:eastAsia="Arial" w:hAnsi="Arial"/>
                <w:sz w:val="20"/>
                <w:szCs w:val="20"/>
              </w:rPr>
              <w:t xml:space="preserve">Yes</w:t>
            </w:r>
          </w:p>
        </w:tc>
      </w:tr>
      <w:tr>
        <w:tc>
          <w:tcPr>
            <w:tcW w:type="dxa" w:w="2200"/>
            <w:tcBorders>
              <w:top w:val="single" w:color="BFBFBF" w:sz="6"/>
              <w:left w:val="single" w:color="BFBFBF" w:sz="6"/>
              <w:bottom w:val="single" w:color="BFBFBF" w:sz="6"/>
              <w:right w:val="single" w:color="BFBFBF" w:sz="6"/>
            </w:tcBorders>
            <w:tcMar>
              <w:top w:type="dxa" w:w="90"/>
              <w:left w:type="dxa" w:w="140"/>
              <w:bottom w:type="dxa" w:w="90"/>
              <w:right w:type="dxa" w:w="140"/>
            </w:tcMar>
          </w:tcPr>
          <w:p>
            <w:pPr>
              <w:spacing w:after="0"/>
            </w:pPr>
            <w:r>
              <w:rPr>
                <w:rFonts w:ascii="Arial" w:cs="Arial" w:eastAsia="Arial" w:hAnsi="Arial"/>
                <w:sz w:val="20"/>
                <w:szCs w:val="20"/>
              </w:rPr>
              <w:t xml:space="preserve">RESET</w:t>
            </w:r>
          </w:p>
        </w:tc>
        <w:tc>
          <w:tcPr>
            <w:tcW w:type="dxa" w:w="5200"/>
            <w:tcBorders>
              <w:top w:val="single" w:color="BFBFBF" w:sz="6"/>
              <w:left w:val="single" w:color="BFBFBF" w:sz="6"/>
              <w:bottom w:val="single" w:color="BFBFBF" w:sz="6"/>
              <w:right w:val="single" w:color="BFBFBF" w:sz="6"/>
            </w:tcBorders>
            <w:tcMar>
              <w:top w:type="dxa" w:w="90"/>
              <w:left w:type="dxa" w:w="140"/>
              <w:bottom w:type="dxa" w:w="90"/>
              <w:right w:type="dxa" w:w="140"/>
            </w:tcMar>
          </w:tcPr>
          <w:p>
            <w:pPr>
              <w:spacing w:after="0"/>
            </w:pPr>
            <w:r>
              <w:rPr>
                <w:rFonts w:ascii="Arial" w:cs="Arial" w:eastAsia="Arial" w:hAnsi="Arial"/>
                <w:sz w:val="20"/>
                <w:szCs w:val="20"/>
              </w:rPr>
              <w:t xml:space="preserve">User invoked source-choice reset; back to AWAITING_CONFLICT_RESOLUTION</w:t>
            </w:r>
          </w:p>
        </w:tc>
        <w:tc>
          <w:tcPr>
            <w:tcW w:type="dxa" w:w="1960"/>
            <w:tcBorders>
              <w:top w:val="single" w:color="BFBFBF" w:sz="6"/>
              <w:left w:val="single" w:color="BFBFBF" w:sz="6"/>
              <w:bottom w:val="single" w:color="BFBFBF" w:sz="6"/>
              <w:right w:val="single" w:color="BFBFBF" w:sz="6"/>
            </w:tcBorders>
            <w:tcMar>
              <w:top w:type="dxa" w:w="90"/>
              <w:left w:type="dxa" w:w="140"/>
              <w:bottom w:type="dxa" w:w="90"/>
              <w:right w:type="dxa" w:w="140"/>
            </w:tcMar>
          </w:tcPr>
          <w:p>
            <w:pPr>
              <w:spacing w:after="0"/>
            </w:pPr>
            <w:r>
              <w:rPr>
                <w:rFonts w:ascii="Arial" w:cs="Arial" w:eastAsia="Arial" w:hAnsi="Arial"/>
                <w:sz w:val="20"/>
                <w:szCs w:val="20"/>
              </w:rPr>
              <w:t xml:space="preserve">No</w:t>
            </w:r>
          </w:p>
        </w:tc>
      </w:tr>
    </w:tbl>
    <w:p>
      <w:pPr>
        <w:spacing w:after="120"/>
      </w:pPr>
    </w:p>
    <w:p>
      <w:pPr>
        <w:pStyle w:val="Heading2"/>
        <w:spacing w:after="120" w:before="220"/>
      </w:pPr>
      <w:r>
        <w:rPr>
          <w:rFonts w:ascii="Arial" w:cs="Arial" w:eastAsia="Arial" w:hAnsi="Arial"/>
          <w:b/>
          <w:bCs/>
          <w:sz w:val="26"/>
          <w:szCs w:val="26"/>
        </w:rPr>
        <w:t xml:space="preserve">7.8 Edge Cases the Onboarding Engine Must Handle</w:t>
      </w:r>
    </w:p>
    <w:p>
      <w:pPr>
        <w:pStyle w:val="ListParagraph"/>
        <w:numPr>
          <w:ilvl w:val="0"/>
          <w:numId w:val="2"/>
        </w:numPr>
        <w:spacing w:after="80" w:line="300"/>
      </w:pPr>
      <w:r>
        <w:rPr>
          <w:rFonts w:ascii="Arial" w:cs="Arial" w:eastAsia="Arial" w:hAnsi="Arial"/>
          <w:sz w:val="22"/>
          <w:szCs w:val="22"/>
        </w:rPr>
        <w:t xml:space="preserve">User uploads a second file mid-session: each file gets its own onboarding message; cross-file conflicts (e.g., same company, different sources) are surfaced in the second file's onboarding.</w:t>
      </w:r>
    </w:p>
    <w:p>
      <w:pPr>
        <w:pStyle w:val="ListParagraph"/>
        <w:numPr>
          <w:ilvl w:val="0"/>
          <w:numId w:val="2"/>
        </w:numPr>
        <w:spacing w:after="80" w:line="300"/>
      </w:pPr>
      <w:r>
        <w:rPr>
          <w:rFonts w:ascii="Arial" w:cs="Arial" w:eastAsia="Arial" w:hAnsi="Arial"/>
          <w:sz w:val="22"/>
          <w:szCs w:val="22"/>
        </w:rPr>
        <w:t xml:space="preserve">User skips/ignores the blocking question and asks something else: bot must NOT answer; instead, it gently redirects to the unanswered question.</w:t>
      </w:r>
    </w:p>
    <w:p>
      <w:pPr>
        <w:pStyle w:val="ListParagraph"/>
        <w:numPr>
          <w:ilvl w:val="0"/>
          <w:numId w:val="2"/>
        </w:numPr>
        <w:spacing w:after="80" w:line="300"/>
      </w:pPr>
      <w:r>
        <w:rPr>
          <w:rFonts w:ascii="Arial" w:cs="Arial" w:eastAsia="Arial" w:hAnsi="Arial"/>
          <w:sz w:val="22"/>
          <w:szCs w:val="22"/>
        </w:rPr>
        <w:t xml:space="preserve">Validation fails (totals don't reconcile, units indeterminate): bot says so plainly and asks the user to upload a corrected version, rather than guessing.</w:t>
      </w:r>
    </w:p>
    <w:p>
      <w:pPr>
        <w:pStyle w:val="ListParagraph"/>
        <w:numPr>
          <w:ilvl w:val="0"/>
          <w:numId w:val="2"/>
        </w:numPr>
        <w:spacing w:after="80" w:line="300"/>
      </w:pPr>
      <w:r>
        <w:rPr>
          <w:rFonts w:ascii="Arial" w:cs="Arial" w:eastAsia="Arial" w:hAnsi="Arial"/>
          <w:sz w:val="22"/>
          <w:szCs w:val="22"/>
        </w:rPr>
        <w:t xml:space="preserve">Onboarding message would exceed ~30 disclosure items: items group into expandable categories. Conflicts (the blocking section) never collapse.</w:t>
      </w:r>
    </w:p>
    <w:p>
      <w:pPr>
        <w:pStyle w:val="ListParagraph"/>
        <w:numPr>
          <w:ilvl w:val="0"/>
          <w:numId w:val="2"/>
        </w:numPr>
        <w:spacing w:after="80" w:line="300"/>
      </w:pPr>
      <w:r>
        <w:rPr>
          <w:rFonts w:ascii="Arial" w:cs="Arial" w:eastAsia="Arial" w:hAnsi="Arial"/>
          <w:sz w:val="22"/>
          <w:szCs w:val="22"/>
        </w:rPr>
        <w:t xml:space="preserve">User answers a conflict question with something unparseable ("both" / "whatever" / off-topic): bot re-asks once, then asks them to choose A/B/C/D explicitly.</w:t>
      </w:r>
    </w:p>
    <w:p>
      <w:pPr>
        <w:pStyle w:val="Heading1"/>
        <w:spacing w:after="160" w:before="280"/>
      </w:pPr>
      <w:r>
        <w:rPr>
          <w:rFonts w:ascii="Arial" w:cs="Arial" w:eastAsia="Arial" w:hAnsi="Arial"/>
          <w:b/>
          <w:bCs/>
          <w:sz w:val="32"/>
          <w:szCs w:val="32"/>
        </w:rPr>
        <w:t xml:space="preserve">8. Success Metrics &amp; UAT</w:t>
      </w:r>
    </w:p>
    <w:p>
      <w:pPr>
        <w:spacing w:after="120" w:line="300"/>
      </w:pPr>
      <w:r>
        <w:rPr>
          <w:rFonts w:ascii="Arial" w:cs="Arial" w:eastAsia="Arial" w:hAnsi="Arial"/>
          <w:sz w:val="22"/>
          <w:szCs w:val="22"/>
        </w:rPr>
        <w:t xml:space="preserve">User Acceptance Testing will be conducted against a "golden dataset" of historic documents. Success is defined by:</w:t>
      </w:r>
    </w:p>
    <w:p>
      <w:pPr>
        <w:pStyle w:val="ListParagraph"/>
        <w:numPr>
          <w:ilvl w:val="0"/>
          <w:numId w:val="2"/>
        </w:numPr>
        <w:spacing w:after="80" w:line="300"/>
      </w:pPr>
      <w:r>
        <w:rPr>
          <w:rFonts w:ascii="Arial" w:cs="Arial" w:eastAsia="Arial" w:hAnsi="Arial"/>
          <w:b/>
          <w:bCs/>
          <w:sz w:val="22"/>
          <w:szCs w:val="22"/>
        </w:rPr>
        <w:t xml:space="preserve">Accuracy</w:t>
      </w:r>
      <w:r>
        <w:rPr>
          <w:rFonts w:ascii="Arial" w:cs="Arial" w:eastAsia="Arial" w:hAnsi="Arial"/>
          <w:sz w:val="22"/>
          <w:szCs w:val="22"/>
        </w:rPr>
        <w:t xml:space="preserve">: 100% mathematical accuracy on explicitly requested numerical KPIs.</w:t>
      </w:r>
    </w:p>
    <w:p>
      <w:pPr>
        <w:pStyle w:val="ListParagraph"/>
        <w:numPr>
          <w:ilvl w:val="0"/>
          <w:numId w:val="2"/>
        </w:numPr>
        <w:spacing w:after="80" w:line="300"/>
      </w:pPr>
      <w:r>
        <w:rPr>
          <w:rFonts w:ascii="Arial" w:cs="Arial" w:eastAsia="Arial" w:hAnsi="Arial"/>
          <w:b/>
          <w:bCs/>
          <w:sz w:val="22"/>
          <w:szCs w:val="22"/>
        </w:rPr>
        <w:t xml:space="preserve">Latency</w:t>
      </w:r>
      <w:r>
        <w:rPr>
          <w:rFonts w:ascii="Arial" w:cs="Arial" w:eastAsia="Arial" w:hAnsi="Arial"/>
          <w:sz w:val="22"/>
          <w:szCs w:val="22"/>
        </w:rPr>
        <w:t xml:space="preserve">: End-to-end response times under 15 seconds.</w:t>
      </w:r>
    </w:p>
    <w:p>
      <w:pPr>
        <w:pStyle w:val="ListParagraph"/>
        <w:numPr>
          <w:ilvl w:val="0"/>
          <w:numId w:val="2"/>
        </w:numPr>
        <w:spacing w:after="80" w:line="300"/>
      </w:pPr>
      <w:r>
        <w:rPr>
          <w:rFonts w:ascii="Arial" w:cs="Arial" w:eastAsia="Arial" w:hAnsi="Arial"/>
          <w:b/>
          <w:bCs/>
          <w:sz w:val="22"/>
          <w:szCs w:val="22"/>
        </w:rPr>
        <w:t xml:space="preserve">Reliability</w:t>
      </w:r>
      <w:r>
        <w:rPr>
          <w:rFonts w:ascii="Arial" w:cs="Arial" w:eastAsia="Arial" w:hAnsi="Arial"/>
          <w:sz w:val="22"/>
          <w:szCs w:val="22"/>
        </w:rPr>
        <w:t xml:space="preserve">: The system must explicitly state when a document does not contain the required data, rather than estimating.</w:t>
      </w:r>
    </w:p>
    <w:p>
      <w:pPr>
        <w:pBdr>
          <w:top w:val="single" w:color="E8D285" w:sz="4" w:space="4"/>
          <w:left w:val="single" w:color="C9A227" w:sz="18" w:space="6"/>
          <w:bottom w:val="single" w:color="E8D285" w:sz="4" w:space="4"/>
          <w:right w:val="single" w:color="E8D285" w:sz="4" w:space="4"/>
        </w:pBdr>
        <w:shd w:fill="FFF4CE" w:val="clear"/>
        <w:spacing w:after="140" w:before="100" w:line="300"/>
      </w:pPr>
      <w:r>
        <w:rPr>
          <w:rFonts w:ascii="Arial" w:cs="Arial" w:eastAsia="Arial" w:hAnsi="Arial"/>
          <w:b/>
          <w:bCs/>
          <w:color w:val="8A6D11"/>
          <w:sz w:val="20"/>
          <w:szCs w:val="20"/>
        </w:rPr>
        <w:t xml:space="preserve">REVISION v1.1 — </w:t>
      </w:r>
      <w:r>
        <w:rPr>
          <w:rFonts w:ascii="Arial" w:cs="Arial" w:eastAsia="Arial" w:hAnsi="Arial"/>
          <w:color w:val="3D2F00"/>
          <w:sz w:val="20"/>
          <w:szCs w:val="20"/>
        </w:rPr>
        <w:t xml:space="preserve">Two metrics sharpened, three added. (a) Accuracy is reframed as accuracy on approved facts; pre-approval staging facts are not in scope. (b) Latency is tiered by query class — simple lookups under 3s, derived metrics under 8s, multi-source reconciled answers under 15s. (c) Three new metrics: Ingestion Fidelity (% of test-corpus files where mapping is approved without human correction), Conflict Surfacing (% of seeded cross-source conflicts that the system flagged), and Hallucination Rate (% of responses containing any number not traceable to a citation envelope; target = 0%).</w:t>
      </w:r>
    </w:p>
    <w:p>
      <w:pPr>
        <w:pBdr>
          <w:top w:val="single" w:color="F4B084" w:sz="4" w:space="4"/>
          <w:left w:val="single" w:color="C65911" w:sz="18" w:space="6"/>
          <w:bottom w:val="single" w:color="F4B084" w:sz="4" w:space="4"/>
          <w:right w:val="single" w:color="F4B084" w:sz="4" w:space="4"/>
        </w:pBdr>
        <w:shd w:fill="FCE4D6" w:val="clear"/>
        <w:spacing w:after="140" w:before="100" w:line="300"/>
      </w:pPr>
      <w:r>
        <w:rPr>
          <w:rFonts w:ascii="Arial" w:cs="Arial" w:eastAsia="Arial" w:hAnsi="Arial"/>
          <w:b/>
          <w:bCs/>
          <w:color w:val="C65911"/>
          <w:sz w:val="20"/>
          <w:szCs w:val="20"/>
        </w:rPr>
        <w:t xml:space="preserve">REVISION v1.2 — </w:t>
      </w:r>
      <w:r>
        <w:rPr>
          <w:rFonts w:ascii="Arial" w:cs="Arial" w:eastAsia="Arial" w:hAnsi="Arial"/>
          <w:color w:val="5A2A0A"/>
          <w:sz w:val="20"/>
          <w:szCs w:val="20"/>
        </w:rPr>
        <w:t xml:space="preserve">v1.2 adjustments. Accuracy is reframed against the user-acknowledged onboarding state, not a separate approval. Ingestion Fidelity is split into two: Auto-Onboarding Rate (% of files where the bot's onboarding message has zero blocking questions — pure disclosure, no conflicts) and Conflict Resolution Quality (whether the bot's conflict question was the right one to ask). Adds Onboarding Completion Rate (% of upload sessions where the user successfully reaches LIVE state, vs. abandoning at the conflict-question stage), which is the v1.2 product-health metric.</w:t>
      </w:r>
    </w:p>
    <w:p>
      <w:pPr>
        <w:pStyle w:val="Heading3"/>
        <w:spacing w:after="100" w:before="180"/>
      </w:pPr>
      <w:r>
        <w:rPr>
          <w:rFonts w:ascii="Arial" w:cs="Arial" w:eastAsia="Arial" w:hAnsi="Arial"/>
          <w:b/>
          <w:bCs/>
          <w:sz w:val="23"/>
          <w:szCs w:val="23"/>
        </w:rPr>
        <w:t xml:space="preserve">8.1 Sharpened &amp; Added Metrics (REVISED)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960"/>
        <w:gridCol w:w="2000"/>
      </w:tblGrid>
      <w:tr>
        <w:trPr>
          <w:tblHeader/>
        </w:trPr>
        <w:tc>
          <w:tcPr>
            <w:tcW w:type="dxa" w:w="2400"/>
            <w:tcBorders>
              <w:top w:val="single" w:color="BFBFBF" w:sz="6"/>
              <w:left w:val="single" w:color="BFBFBF" w:sz="6"/>
              <w:bottom w:val="single" w:color="BFBFBF" w:sz="6"/>
              <w:right w:val="single" w:color="BFBFBF" w:sz="6"/>
            </w:tcBorders>
            <w:shd w:fill="1F3864" w:val="clear"/>
            <w:tcMar>
              <w:top w:type="dxa" w:w="100"/>
              <w:left w:type="dxa" w:w="140"/>
              <w:bottom w:type="dxa" w:w="100"/>
              <w:right w:type="dxa" w:w="140"/>
            </w:tcMar>
          </w:tcPr>
          <w:p>
            <w:pPr>
              <w:spacing w:after="0"/>
            </w:pPr>
            <w:r>
              <w:rPr>
                <w:rFonts w:ascii="Arial" w:cs="Arial" w:eastAsia="Arial" w:hAnsi="Arial"/>
                <w:b/>
                <w:bCs/>
                <w:color w:val="FFFFFF"/>
                <w:sz w:val="21"/>
                <w:szCs w:val="21"/>
              </w:rPr>
              <w:t xml:space="preserve">Metric</w:t>
            </w:r>
          </w:p>
        </w:tc>
        <w:tc>
          <w:tcPr>
            <w:tcW w:type="dxa" w:w="4960"/>
            <w:tcBorders>
              <w:top w:val="single" w:color="BFBFBF" w:sz="6"/>
              <w:left w:val="single" w:color="BFBFBF" w:sz="6"/>
              <w:bottom w:val="single" w:color="BFBFBF" w:sz="6"/>
              <w:right w:val="single" w:color="BFBFBF" w:sz="6"/>
            </w:tcBorders>
            <w:shd w:fill="1F3864" w:val="clear"/>
            <w:tcMar>
              <w:top w:type="dxa" w:w="100"/>
              <w:left w:type="dxa" w:w="140"/>
              <w:bottom w:type="dxa" w:w="100"/>
              <w:right w:type="dxa" w:w="140"/>
            </w:tcMar>
          </w:tcPr>
          <w:p>
            <w:pPr>
              <w:spacing w:after="0"/>
            </w:pPr>
            <w:r>
              <w:rPr>
                <w:rFonts w:ascii="Arial" w:cs="Arial" w:eastAsia="Arial" w:hAnsi="Arial"/>
                <w:b/>
                <w:bCs/>
                <w:color w:val="FFFFFF"/>
                <w:sz w:val="21"/>
                <w:szCs w:val="21"/>
              </w:rPr>
              <w:t xml:space="preserve">Definition</w:t>
            </w:r>
          </w:p>
        </w:tc>
        <w:tc>
          <w:tcPr>
            <w:tcW w:type="dxa" w:w="2000"/>
            <w:tcBorders>
              <w:top w:val="single" w:color="BFBFBF" w:sz="6"/>
              <w:left w:val="single" w:color="BFBFBF" w:sz="6"/>
              <w:bottom w:val="single" w:color="BFBFBF" w:sz="6"/>
              <w:right w:val="single" w:color="BFBFBF" w:sz="6"/>
            </w:tcBorders>
            <w:shd w:fill="1F3864" w:val="clear"/>
            <w:tcMar>
              <w:top w:type="dxa" w:w="100"/>
              <w:left w:type="dxa" w:w="140"/>
              <w:bottom w:type="dxa" w:w="100"/>
              <w:right w:type="dxa" w:w="140"/>
            </w:tcMar>
          </w:tcPr>
          <w:p>
            <w:pPr>
              <w:spacing w:after="0"/>
            </w:pPr>
            <w:r>
              <w:rPr>
                <w:rFonts w:ascii="Arial" w:cs="Arial" w:eastAsia="Arial" w:hAnsi="Arial"/>
                <w:b/>
                <w:bCs/>
                <w:color w:val="FFFFFF"/>
                <w:sz w:val="21"/>
                <w:szCs w:val="21"/>
              </w:rPr>
              <w:t xml:space="preserve">Target</w:t>
            </w:r>
          </w:p>
        </w:tc>
      </w:tr>
      <w:tr>
        <w:tc>
          <w:tcPr>
            <w:tcW w:type="dxa" w:w="2400"/>
            <w:tcBorders>
              <w:top w:val="single" w:color="BFBFBF" w:sz="6"/>
              <w:left w:val="single" w:color="BFBFBF" w:sz="6"/>
              <w:bottom w:val="single" w:color="BFBFBF" w:sz="6"/>
              <w:right w:val="single" w:color="BFBFBF" w:sz="6"/>
            </w:tcBorders>
            <w:tcMar>
              <w:top w:type="dxa" w:w="90"/>
              <w:left w:type="dxa" w:w="140"/>
              <w:bottom w:type="dxa" w:w="90"/>
              <w:right w:type="dxa" w:w="140"/>
            </w:tcMar>
          </w:tcPr>
          <w:p>
            <w:pPr>
              <w:spacing w:after="0"/>
            </w:pPr>
            <w:r>
              <w:rPr>
                <w:rFonts w:ascii="Arial" w:cs="Arial" w:eastAsia="Arial" w:hAnsi="Arial"/>
                <w:sz w:val="20"/>
                <w:szCs w:val="20"/>
              </w:rPr>
              <w:t xml:space="preserve">Accuracy (revised v1.2)</w:t>
            </w:r>
          </w:p>
        </w:tc>
        <w:tc>
          <w:tcPr>
            <w:tcW w:type="dxa" w:w="4960"/>
            <w:tcBorders>
              <w:top w:val="single" w:color="BFBFBF" w:sz="6"/>
              <w:left w:val="single" w:color="BFBFBF" w:sz="6"/>
              <w:bottom w:val="single" w:color="BFBFBF" w:sz="6"/>
              <w:right w:val="single" w:color="BFBFBF" w:sz="6"/>
            </w:tcBorders>
            <w:tcMar>
              <w:top w:type="dxa" w:w="90"/>
              <w:left w:type="dxa" w:w="140"/>
              <w:bottom w:type="dxa" w:w="90"/>
              <w:right w:type="dxa" w:w="140"/>
            </w:tcMar>
          </w:tcPr>
          <w:p>
            <w:pPr>
              <w:spacing w:after="0"/>
            </w:pPr>
            <w:r>
              <w:rPr>
                <w:rFonts w:ascii="Arial" w:cs="Arial" w:eastAsia="Arial" w:hAnsi="Arial"/>
                <w:sz w:val="20"/>
                <w:szCs w:val="20"/>
              </w:rPr>
              <w:t xml:space="preserve">Mathematical correctness on KPIs derived from facts that have reached LIVE state (user acknowledged the onboarding message). Pre-acknowledgment facts are out of scope.</w:t>
            </w:r>
          </w:p>
        </w:tc>
        <w:tc>
          <w:tcPr>
            <w:tcW w:type="dxa" w:w="2000"/>
            <w:tcBorders>
              <w:top w:val="single" w:color="BFBFBF" w:sz="6"/>
              <w:left w:val="single" w:color="BFBFBF" w:sz="6"/>
              <w:bottom w:val="single" w:color="BFBFBF" w:sz="6"/>
              <w:right w:val="single" w:color="BFBFBF" w:sz="6"/>
            </w:tcBorders>
            <w:tcMar>
              <w:top w:type="dxa" w:w="90"/>
              <w:left w:type="dxa" w:w="140"/>
              <w:bottom w:type="dxa" w:w="90"/>
              <w:right w:type="dxa" w:w="140"/>
            </w:tcMar>
          </w:tcPr>
          <w:p>
            <w:pPr>
              <w:spacing w:after="0"/>
            </w:pPr>
            <w:r>
              <w:rPr>
                <w:rFonts w:ascii="Arial" w:cs="Arial" w:eastAsia="Arial" w:hAnsi="Arial"/>
                <w:sz w:val="20"/>
                <w:szCs w:val="20"/>
              </w:rPr>
              <w:t xml:space="preserve">100%</w:t>
            </w:r>
          </w:p>
        </w:tc>
      </w:tr>
      <w:tr>
        <w:tc>
          <w:tcPr>
            <w:tcW w:type="dxa" w:w="2400"/>
            <w:tcBorders>
              <w:top w:val="single" w:color="BFBFBF" w:sz="6"/>
              <w:left w:val="single" w:color="BFBFBF" w:sz="6"/>
              <w:bottom w:val="single" w:color="BFBFBF" w:sz="6"/>
              <w:right w:val="single" w:color="BFBFBF" w:sz="6"/>
            </w:tcBorders>
            <w:shd w:fill="F2F2F2" w:val="clear"/>
            <w:tcMar>
              <w:top w:type="dxa" w:w="90"/>
              <w:left w:type="dxa" w:w="140"/>
              <w:bottom w:type="dxa" w:w="90"/>
              <w:right w:type="dxa" w:w="140"/>
            </w:tcMar>
          </w:tcPr>
          <w:p>
            <w:pPr>
              <w:spacing w:after="0"/>
            </w:pPr>
            <w:r>
              <w:rPr>
                <w:rFonts w:ascii="Arial" w:cs="Arial" w:eastAsia="Arial" w:hAnsi="Arial"/>
                <w:sz w:val="20"/>
                <w:szCs w:val="20"/>
              </w:rPr>
              <w:t xml:space="preserve">Latency — Simple</w:t>
            </w:r>
          </w:p>
        </w:tc>
        <w:tc>
          <w:tcPr>
            <w:tcW w:type="dxa" w:w="4960"/>
            <w:tcBorders>
              <w:top w:val="single" w:color="BFBFBF" w:sz="6"/>
              <w:left w:val="single" w:color="BFBFBF" w:sz="6"/>
              <w:bottom w:val="single" w:color="BFBFBF" w:sz="6"/>
              <w:right w:val="single" w:color="BFBFBF" w:sz="6"/>
            </w:tcBorders>
            <w:shd w:fill="F2F2F2" w:val="clear"/>
            <w:tcMar>
              <w:top w:type="dxa" w:w="90"/>
              <w:left w:type="dxa" w:w="140"/>
              <w:bottom w:type="dxa" w:w="90"/>
              <w:right w:type="dxa" w:w="140"/>
            </w:tcMar>
          </w:tcPr>
          <w:p>
            <w:pPr>
              <w:spacing w:after="0"/>
            </w:pPr>
            <w:r>
              <w:rPr>
                <w:rFonts w:ascii="Arial" w:cs="Arial" w:eastAsia="Arial" w:hAnsi="Arial"/>
                <w:sz w:val="20"/>
                <w:szCs w:val="20"/>
              </w:rPr>
              <w:t xml:space="preserve">Single fetch_metric call, no reconciliation.</w:t>
            </w:r>
          </w:p>
        </w:tc>
        <w:tc>
          <w:tcPr>
            <w:tcW w:type="dxa" w:w="2000"/>
            <w:tcBorders>
              <w:top w:val="single" w:color="BFBFBF" w:sz="6"/>
              <w:left w:val="single" w:color="BFBFBF" w:sz="6"/>
              <w:bottom w:val="single" w:color="BFBFBF" w:sz="6"/>
              <w:right w:val="single" w:color="BFBFBF" w:sz="6"/>
            </w:tcBorders>
            <w:shd w:fill="F2F2F2" w:val="clear"/>
            <w:tcMar>
              <w:top w:type="dxa" w:w="90"/>
              <w:left w:type="dxa" w:w="140"/>
              <w:bottom w:type="dxa" w:w="90"/>
              <w:right w:type="dxa" w:w="140"/>
            </w:tcMar>
          </w:tcPr>
          <w:p>
            <w:pPr>
              <w:spacing w:after="0"/>
            </w:pPr>
            <w:r>
              <w:rPr>
                <w:rFonts w:ascii="Arial" w:cs="Arial" w:eastAsia="Arial" w:hAnsi="Arial"/>
                <w:sz w:val="20"/>
                <w:szCs w:val="20"/>
              </w:rPr>
              <w:t xml:space="preserve">&lt; 3 seconds</w:t>
            </w:r>
          </w:p>
        </w:tc>
      </w:tr>
      <w:tr>
        <w:tc>
          <w:tcPr>
            <w:tcW w:type="dxa" w:w="2400"/>
            <w:tcBorders>
              <w:top w:val="single" w:color="BFBFBF" w:sz="6"/>
              <w:left w:val="single" w:color="BFBFBF" w:sz="6"/>
              <w:bottom w:val="single" w:color="BFBFBF" w:sz="6"/>
              <w:right w:val="single" w:color="BFBFBF" w:sz="6"/>
            </w:tcBorders>
            <w:tcMar>
              <w:top w:type="dxa" w:w="90"/>
              <w:left w:type="dxa" w:w="140"/>
              <w:bottom w:type="dxa" w:w="90"/>
              <w:right w:type="dxa" w:w="140"/>
            </w:tcMar>
          </w:tcPr>
          <w:p>
            <w:pPr>
              <w:spacing w:after="0"/>
            </w:pPr>
            <w:r>
              <w:rPr>
                <w:rFonts w:ascii="Arial" w:cs="Arial" w:eastAsia="Arial" w:hAnsi="Arial"/>
                <w:sz w:val="20"/>
                <w:szCs w:val="20"/>
              </w:rPr>
              <w:t xml:space="preserve">Latency — Derived</w:t>
            </w:r>
          </w:p>
        </w:tc>
        <w:tc>
          <w:tcPr>
            <w:tcW w:type="dxa" w:w="4960"/>
            <w:tcBorders>
              <w:top w:val="single" w:color="BFBFBF" w:sz="6"/>
              <w:left w:val="single" w:color="BFBFBF" w:sz="6"/>
              <w:bottom w:val="single" w:color="BFBFBF" w:sz="6"/>
              <w:right w:val="single" w:color="BFBFBF" w:sz="6"/>
            </w:tcBorders>
            <w:tcMar>
              <w:top w:type="dxa" w:w="90"/>
              <w:left w:type="dxa" w:w="140"/>
              <w:bottom w:type="dxa" w:w="90"/>
              <w:right w:type="dxa" w:w="140"/>
            </w:tcMar>
          </w:tcPr>
          <w:p>
            <w:pPr>
              <w:spacing w:after="0"/>
            </w:pPr>
            <w:r>
              <w:rPr>
                <w:rFonts w:ascii="Arial" w:cs="Arial" w:eastAsia="Arial" w:hAnsi="Arial"/>
                <w:sz w:val="20"/>
                <w:szCs w:val="20"/>
              </w:rPr>
              <w:t xml:space="preserve">Includes calculate_ratio, calculate_variance, or single-source RAG.</w:t>
            </w:r>
          </w:p>
        </w:tc>
        <w:tc>
          <w:tcPr>
            <w:tcW w:type="dxa" w:w="2000"/>
            <w:tcBorders>
              <w:top w:val="single" w:color="BFBFBF" w:sz="6"/>
              <w:left w:val="single" w:color="BFBFBF" w:sz="6"/>
              <w:bottom w:val="single" w:color="BFBFBF" w:sz="6"/>
              <w:right w:val="single" w:color="BFBFBF" w:sz="6"/>
            </w:tcBorders>
            <w:tcMar>
              <w:top w:type="dxa" w:w="90"/>
              <w:left w:type="dxa" w:w="140"/>
              <w:bottom w:type="dxa" w:w="90"/>
              <w:right w:type="dxa" w:w="140"/>
            </w:tcMar>
          </w:tcPr>
          <w:p>
            <w:pPr>
              <w:spacing w:after="0"/>
            </w:pPr>
            <w:r>
              <w:rPr>
                <w:rFonts w:ascii="Arial" w:cs="Arial" w:eastAsia="Arial" w:hAnsi="Arial"/>
                <w:sz w:val="20"/>
                <w:szCs w:val="20"/>
              </w:rPr>
              <w:t xml:space="preserve">&lt; 8 seconds</w:t>
            </w:r>
          </w:p>
        </w:tc>
      </w:tr>
      <w:tr>
        <w:tc>
          <w:tcPr>
            <w:tcW w:type="dxa" w:w="2400"/>
            <w:tcBorders>
              <w:top w:val="single" w:color="BFBFBF" w:sz="6"/>
              <w:left w:val="single" w:color="BFBFBF" w:sz="6"/>
              <w:bottom w:val="single" w:color="BFBFBF" w:sz="6"/>
              <w:right w:val="single" w:color="BFBFBF" w:sz="6"/>
            </w:tcBorders>
            <w:shd w:fill="F2F2F2" w:val="clear"/>
            <w:tcMar>
              <w:top w:type="dxa" w:w="90"/>
              <w:left w:type="dxa" w:w="140"/>
              <w:bottom w:type="dxa" w:w="90"/>
              <w:right w:type="dxa" w:w="140"/>
            </w:tcMar>
          </w:tcPr>
          <w:p>
            <w:pPr>
              <w:spacing w:after="0"/>
            </w:pPr>
            <w:r>
              <w:rPr>
                <w:rFonts w:ascii="Arial" w:cs="Arial" w:eastAsia="Arial" w:hAnsi="Arial"/>
                <w:sz w:val="20"/>
                <w:szCs w:val="20"/>
              </w:rPr>
              <w:t xml:space="preserve">Latency — Reconciled</w:t>
            </w:r>
          </w:p>
        </w:tc>
        <w:tc>
          <w:tcPr>
            <w:tcW w:type="dxa" w:w="4960"/>
            <w:tcBorders>
              <w:top w:val="single" w:color="BFBFBF" w:sz="6"/>
              <w:left w:val="single" w:color="BFBFBF" w:sz="6"/>
              <w:bottom w:val="single" w:color="BFBFBF" w:sz="6"/>
              <w:right w:val="single" w:color="BFBFBF" w:sz="6"/>
            </w:tcBorders>
            <w:shd w:fill="F2F2F2" w:val="clear"/>
            <w:tcMar>
              <w:top w:type="dxa" w:w="90"/>
              <w:left w:type="dxa" w:w="140"/>
              <w:bottom w:type="dxa" w:w="90"/>
              <w:right w:type="dxa" w:w="140"/>
            </w:tcMar>
          </w:tcPr>
          <w:p>
            <w:pPr>
              <w:spacing w:after="0"/>
            </w:pPr>
            <w:r>
              <w:rPr>
                <w:rFonts w:ascii="Arial" w:cs="Arial" w:eastAsia="Arial" w:hAnsi="Arial"/>
                <w:sz w:val="20"/>
                <w:szCs w:val="20"/>
              </w:rPr>
              <w:t xml:space="preserve">Multi-source query requiring conflict surfacing or cross-document RAG.</w:t>
            </w:r>
          </w:p>
        </w:tc>
        <w:tc>
          <w:tcPr>
            <w:tcW w:type="dxa" w:w="2000"/>
            <w:tcBorders>
              <w:top w:val="single" w:color="BFBFBF" w:sz="6"/>
              <w:left w:val="single" w:color="BFBFBF" w:sz="6"/>
              <w:bottom w:val="single" w:color="BFBFBF" w:sz="6"/>
              <w:right w:val="single" w:color="BFBFBF" w:sz="6"/>
            </w:tcBorders>
            <w:shd w:fill="F2F2F2" w:val="clear"/>
            <w:tcMar>
              <w:top w:type="dxa" w:w="90"/>
              <w:left w:type="dxa" w:w="140"/>
              <w:bottom w:type="dxa" w:w="90"/>
              <w:right w:type="dxa" w:w="140"/>
            </w:tcMar>
          </w:tcPr>
          <w:p>
            <w:pPr>
              <w:spacing w:after="0"/>
            </w:pPr>
            <w:r>
              <w:rPr>
                <w:rFonts w:ascii="Arial" w:cs="Arial" w:eastAsia="Arial" w:hAnsi="Arial"/>
                <w:sz w:val="20"/>
                <w:szCs w:val="20"/>
              </w:rPr>
              <w:t xml:space="preserve">&lt; 15 seconds</w:t>
            </w:r>
          </w:p>
        </w:tc>
      </w:tr>
      <w:tr>
        <w:tc>
          <w:tcPr>
            <w:tcW w:type="dxa" w:w="2400"/>
            <w:tcBorders>
              <w:top w:val="single" w:color="BFBFBF" w:sz="6"/>
              <w:left w:val="single" w:color="BFBFBF" w:sz="6"/>
              <w:bottom w:val="single" w:color="BFBFBF" w:sz="6"/>
              <w:right w:val="single" w:color="BFBFBF" w:sz="6"/>
            </w:tcBorders>
            <w:tcMar>
              <w:top w:type="dxa" w:w="90"/>
              <w:left w:type="dxa" w:w="140"/>
              <w:bottom w:type="dxa" w:w="90"/>
              <w:right w:type="dxa" w:w="140"/>
            </w:tcMar>
          </w:tcPr>
          <w:p>
            <w:pPr>
              <w:spacing w:after="0"/>
            </w:pPr>
            <w:r>
              <w:rPr>
                <w:rFonts w:ascii="Arial" w:cs="Arial" w:eastAsia="Arial" w:hAnsi="Arial"/>
                <w:sz w:val="20"/>
                <w:szCs w:val="20"/>
              </w:rPr>
              <w:t xml:space="preserve">Onboarding Latency (NEW v1.2)</w:t>
            </w:r>
          </w:p>
        </w:tc>
        <w:tc>
          <w:tcPr>
            <w:tcW w:type="dxa" w:w="4960"/>
            <w:tcBorders>
              <w:top w:val="single" w:color="BFBFBF" w:sz="6"/>
              <w:left w:val="single" w:color="BFBFBF" w:sz="6"/>
              <w:bottom w:val="single" w:color="BFBFBF" w:sz="6"/>
              <w:right w:val="single" w:color="BFBFBF" w:sz="6"/>
            </w:tcBorders>
            <w:tcMar>
              <w:top w:type="dxa" w:w="90"/>
              <w:left w:type="dxa" w:w="140"/>
              <w:bottom w:type="dxa" w:w="90"/>
              <w:right w:type="dxa" w:w="140"/>
            </w:tcMar>
          </w:tcPr>
          <w:p>
            <w:pPr>
              <w:spacing w:after="0"/>
            </w:pPr>
            <w:r>
              <w:rPr>
                <w:rFonts w:ascii="Arial" w:cs="Arial" w:eastAsia="Arial" w:hAnsi="Arial"/>
                <w:sz w:val="20"/>
                <w:szCs w:val="20"/>
              </w:rPr>
              <w:t xml:space="preserve">Time from file upload to the bot's onboarding message being visible.</w:t>
            </w:r>
          </w:p>
        </w:tc>
        <w:tc>
          <w:tcPr>
            <w:tcW w:type="dxa" w:w="2000"/>
            <w:tcBorders>
              <w:top w:val="single" w:color="BFBFBF" w:sz="6"/>
              <w:left w:val="single" w:color="BFBFBF" w:sz="6"/>
              <w:bottom w:val="single" w:color="BFBFBF" w:sz="6"/>
              <w:right w:val="single" w:color="BFBFBF" w:sz="6"/>
            </w:tcBorders>
            <w:tcMar>
              <w:top w:type="dxa" w:w="90"/>
              <w:left w:type="dxa" w:w="140"/>
              <w:bottom w:type="dxa" w:w="90"/>
              <w:right w:type="dxa" w:w="140"/>
            </w:tcMar>
          </w:tcPr>
          <w:p>
            <w:pPr>
              <w:spacing w:after="0"/>
            </w:pPr>
            <w:r>
              <w:rPr>
                <w:rFonts w:ascii="Arial" w:cs="Arial" w:eastAsia="Arial" w:hAnsi="Arial"/>
                <w:sz w:val="20"/>
                <w:szCs w:val="20"/>
              </w:rPr>
              <w:t xml:space="preserve">&lt; 30 seconds for files ≤ 1 MB</w:t>
            </w:r>
          </w:p>
        </w:tc>
      </w:tr>
      <w:tr>
        <w:tc>
          <w:tcPr>
            <w:tcW w:type="dxa" w:w="2400"/>
            <w:tcBorders>
              <w:top w:val="single" w:color="BFBFBF" w:sz="6"/>
              <w:left w:val="single" w:color="BFBFBF" w:sz="6"/>
              <w:bottom w:val="single" w:color="BFBFBF" w:sz="6"/>
              <w:right w:val="single" w:color="BFBFBF" w:sz="6"/>
            </w:tcBorders>
            <w:shd w:fill="F2F2F2" w:val="clear"/>
            <w:tcMar>
              <w:top w:type="dxa" w:w="90"/>
              <w:left w:type="dxa" w:w="140"/>
              <w:bottom w:type="dxa" w:w="90"/>
              <w:right w:type="dxa" w:w="140"/>
            </w:tcMar>
          </w:tcPr>
          <w:p>
            <w:pPr>
              <w:spacing w:after="0"/>
            </w:pPr>
            <w:r>
              <w:rPr>
                <w:rFonts w:ascii="Arial" w:cs="Arial" w:eastAsia="Arial" w:hAnsi="Arial"/>
                <w:sz w:val="20"/>
                <w:szCs w:val="20"/>
              </w:rPr>
              <w:t xml:space="preserve">Reliability (unchanged)</w:t>
            </w:r>
          </w:p>
        </w:tc>
        <w:tc>
          <w:tcPr>
            <w:tcW w:type="dxa" w:w="4960"/>
            <w:tcBorders>
              <w:top w:val="single" w:color="BFBFBF" w:sz="6"/>
              <w:left w:val="single" w:color="BFBFBF" w:sz="6"/>
              <w:bottom w:val="single" w:color="BFBFBF" w:sz="6"/>
              <w:right w:val="single" w:color="BFBFBF" w:sz="6"/>
            </w:tcBorders>
            <w:shd w:fill="F2F2F2" w:val="clear"/>
            <w:tcMar>
              <w:top w:type="dxa" w:w="90"/>
              <w:left w:type="dxa" w:w="140"/>
              <w:bottom w:type="dxa" w:w="90"/>
              <w:right w:type="dxa" w:w="140"/>
            </w:tcMar>
          </w:tcPr>
          <w:p>
            <w:pPr>
              <w:spacing w:after="0"/>
            </w:pPr>
            <w:r>
              <w:rPr>
                <w:rFonts w:ascii="Arial" w:cs="Arial" w:eastAsia="Arial" w:hAnsi="Arial"/>
                <w:sz w:val="20"/>
                <w:szCs w:val="20"/>
              </w:rPr>
              <w:t xml:space="preserve">System refuses to estimate when data is absent.</w:t>
            </w:r>
          </w:p>
        </w:tc>
        <w:tc>
          <w:tcPr>
            <w:tcW w:type="dxa" w:w="2000"/>
            <w:tcBorders>
              <w:top w:val="single" w:color="BFBFBF" w:sz="6"/>
              <w:left w:val="single" w:color="BFBFBF" w:sz="6"/>
              <w:bottom w:val="single" w:color="BFBFBF" w:sz="6"/>
              <w:right w:val="single" w:color="BFBFBF" w:sz="6"/>
            </w:tcBorders>
            <w:shd w:fill="F2F2F2" w:val="clear"/>
            <w:tcMar>
              <w:top w:type="dxa" w:w="90"/>
              <w:left w:type="dxa" w:w="140"/>
              <w:bottom w:type="dxa" w:w="90"/>
              <w:right w:type="dxa" w:w="140"/>
            </w:tcMar>
          </w:tcPr>
          <w:p>
            <w:pPr>
              <w:spacing w:after="0"/>
            </w:pPr>
            <w:r>
              <w:rPr>
                <w:rFonts w:ascii="Arial" w:cs="Arial" w:eastAsia="Arial" w:hAnsi="Arial"/>
                <w:sz w:val="20"/>
                <w:szCs w:val="20"/>
              </w:rPr>
              <w:t xml:space="preserve">100% refusal rate</w:t>
            </w:r>
          </w:p>
        </w:tc>
      </w:tr>
      <w:tr>
        <w:tc>
          <w:tcPr>
            <w:tcW w:type="dxa" w:w="2400"/>
            <w:tcBorders>
              <w:top w:val="single" w:color="BFBFBF" w:sz="6"/>
              <w:left w:val="single" w:color="BFBFBF" w:sz="6"/>
              <w:bottom w:val="single" w:color="BFBFBF" w:sz="6"/>
              <w:right w:val="single" w:color="BFBFBF" w:sz="6"/>
            </w:tcBorders>
            <w:tcMar>
              <w:top w:type="dxa" w:w="90"/>
              <w:left w:type="dxa" w:w="140"/>
              <w:bottom w:type="dxa" w:w="90"/>
              <w:right w:type="dxa" w:w="140"/>
            </w:tcMar>
          </w:tcPr>
          <w:p>
            <w:pPr>
              <w:spacing w:after="0"/>
            </w:pPr>
            <w:r>
              <w:rPr>
                <w:rFonts w:ascii="Arial" w:cs="Arial" w:eastAsia="Arial" w:hAnsi="Arial"/>
                <w:sz w:val="20"/>
                <w:szCs w:val="20"/>
              </w:rPr>
              <w:t xml:space="preserve">Auto-Onboarding Rate (REVISED v1.2)</w:t>
            </w:r>
          </w:p>
        </w:tc>
        <w:tc>
          <w:tcPr>
            <w:tcW w:type="dxa" w:w="4960"/>
            <w:tcBorders>
              <w:top w:val="single" w:color="BFBFBF" w:sz="6"/>
              <w:left w:val="single" w:color="BFBFBF" w:sz="6"/>
              <w:bottom w:val="single" w:color="BFBFBF" w:sz="6"/>
              <w:right w:val="single" w:color="BFBFBF" w:sz="6"/>
            </w:tcBorders>
            <w:tcMar>
              <w:top w:type="dxa" w:w="90"/>
              <w:left w:type="dxa" w:w="140"/>
              <w:bottom w:type="dxa" w:w="90"/>
              <w:right w:type="dxa" w:w="140"/>
            </w:tcMar>
          </w:tcPr>
          <w:p>
            <w:pPr>
              <w:spacing w:after="0"/>
            </w:pPr>
            <w:r>
              <w:rPr>
                <w:rFonts w:ascii="Arial" w:cs="Arial" w:eastAsia="Arial" w:hAnsi="Arial"/>
                <w:sz w:val="20"/>
                <w:szCs w:val="20"/>
              </w:rPr>
              <w:t xml:space="preserve">% of files where the onboarding message contains zero blocking conflict questions (only disclosure).</w:t>
            </w:r>
          </w:p>
        </w:tc>
        <w:tc>
          <w:tcPr>
            <w:tcW w:type="dxa" w:w="2000"/>
            <w:tcBorders>
              <w:top w:val="single" w:color="BFBFBF" w:sz="6"/>
              <w:left w:val="single" w:color="BFBFBF" w:sz="6"/>
              <w:bottom w:val="single" w:color="BFBFBF" w:sz="6"/>
              <w:right w:val="single" w:color="BFBFBF" w:sz="6"/>
            </w:tcBorders>
            <w:tcMar>
              <w:top w:type="dxa" w:w="90"/>
              <w:left w:type="dxa" w:w="140"/>
              <w:bottom w:type="dxa" w:w="90"/>
              <w:right w:type="dxa" w:w="140"/>
            </w:tcMar>
          </w:tcPr>
          <w:p>
            <w:pPr>
              <w:spacing w:after="0"/>
            </w:pPr>
            <w:r>
              <w:rPr>
                <w:rFonts w:ascii="Arial" w:cs="Arial" w:eastAsia="Arial" w:hAnsi="Arial"/>
                <w:sz w:val="20"/>
                <w:szCs w:val="20"/>
              </w:rPr>
              <w:t xml:space="preserve">≥ 60% of corpus</w:t>
            </w:r>
          </w:p>
        </w:tc>
      </w:tr>
      <w:tr>
        <w:tc>
          <w:tcPr>
            <w:tcW w:type="dxa" w:w="2400"/>
            <w:tcBorders>
              <w:top w:val="single" w:color="BFBFBF" w:sz="6"/>
              <w:left w:val="single" w:color="BFBFBF" w:sz="6"/>
              <w:bottom w:val="single" w:color="BFBFBF" w:sz="6"/>
              <w:right w:val="single" w:color="BFBFBF" w:sz="6"/>
            </w:tcBorders>
            <w:shd w:fill="F2F2F2" w:val="clear"/>
            <w:tcMar>
              <w:top w:type="dxa" w:w="90"/>
              <w:left w:type="dxa" w:w="140"/>
              <w:bottom w:type="dxa" w:w="90"/>
              <w:right w:type="dxa" w:w="140"/>
            </w:tcMar>
          </w:tcPr>
          <w:p>
            <w:pPr>
              <w:spacing w:after="0"/>
            </w:pPr>
            <w:r>
              <w:rPr>
                <w:rFonts w:ascii="Arial" w:cs="Arial" w:eastAsia="Arial" w:hAnsi="Arial"/>
                <w:sz w:val="20"/>
                <w:szCs w:val="20"/>
              </w:rPr>
              <w:t xml:space="preserve">Conflict Surfacing (unchanged)</w:t>
            </w:r>
          </w:p>
        </w:tc>
        <w:tc>
          <w:tcPr>
            <w:tcW w:type="dxa" w:w="4960"/>
            <w:tcBorders>
              <w:top w:val="single" w:color="BFBFBF" w:sz="6"/>
              <w:left w:val="single" w:color="BFBFBF" w:sz="6"/>
              <w:bottom w:val="single" w:color="BFBFBF" w:sz="6"/>
              <w:right w:val="single" w:color="BFBFBF" w:sz="6"/>
            </w:tcBorders>
            <w:shd w:fill="F2F2F2" w:val="clear"/>
            <w:tcMar>
              <w:top w:type="dxa" w:w="90"/>
              <w:left w:type="dxa" w:w="140"/>
              <w:bottom w:type="dxa" w:w="90"/>
              <w:right w:type="dxa" w:w="140"/>
            </w:tcMar>
          </w:tcPr>
          <w:p>
            <w:pPr>
              <w:spacing w:after="0"/>
            </w:pPr>
            <w:r>
              <w:rPr>
                <w:rFonts w:ascii="Arial" w:cs="Arial" w:eastAsia="Arial" w:hAnsi="Arial"/>
                <w:sz w:val="20"/>
                <w:szCs w:val="20"/>
              </w:rPr>
              <w:t xml:space="preserve">% of seeded cross-source conflicts the system flags during onboarding.</w:t>
            </w:r>
          </w:p>
        </w:tc>
        <w:tc>
          <w:tcPr>
            <w:tcW w:type="dxa" w:w="2000"/>
            <w:tcBorders>
              <w:top w:val="single" w:color="BFBFBF" w:sz="6"/>
              <w:left w:val="single" w:color="BFBFBF" w:sz="6"/>
              <w:bottom w:val="single" w:color="BFBFBF" w:sz="6"/>
              <w:right w:val="single" w:color="BFBFBF" w:sz="6"/>
            </w:tcBorders>
            <w:shd w:fill="F2F2F2" w:val="clear"/>
            <w:tcMar>
              <w:top w:type="dxa" w:w="90"/>
              <w:left w:type="dxa" w:w="140"/>
              <w:bottom w:type="dxa" w:w="90"/>
              <w:right w:type="dxa" w:w="140"/>
            </w:tcMar>
          </w:tcPr>
          <w:p>
            <w:pPr>
              <w:spacing w:after="0"/>
            </w:pPr>
            <w:r>
              <w:rPr>
                <w:rFonts w:ascii="Arial" w:cs="Arial" w:eastAsia="Arial" w:hAnsi="Arial"/>
                <w:sz w:val="20"/>
                <w:szCs w:val="20"/>
              </w:rPr>
              <w:t xml:space="preserve">100%</w:t>
            </w:r>
          </w:p>
        </w:tc>
      </w:tr>
      <w:tr>
        <w:tc>
          <w:tcPr>
            <w:tcW w:type="dxa" w:w="2400"/>
            <w:tcBorders>
              <w:top w:val="single" w:color="BFBFBF" w:sz="6"/>
              <w:left w:val="single" w:color="BFBFBF" w:sz="6"/>
              <w:bottom w:val="single" w:color="BFBFBF" w:sz="6"/>
              <w:right w:val="single" w:color="BFBFBF" w:sz="6"/>
            </w:tcBorders>
            <w:tcMar>
              <w:top w:type="dxa" w:w="90"/>
              <w:left w:type="dxa" w:w="140"/>
              <w:bottom w:type="dxa" w:w="90"/>
              <w:right w:type="dxa" w:w="140"/>
            </w:tcMar>
          </w:tcPr>
          <w:p>
            <w:pPr>
              <w:spacing w:after="0"/>
            </w:pPr>
            <w:r>
              <w:rPr>
                <w:rFonts w:ascii="Arial" w:cs="Arial" w:eastAsia="Arial" w:hAnsi="Arial"/>
                <w:sz w:val="20"/>
                <w:szCs w:val="20"/>
              </w:rPr>
              <w:t xml:space="preserve">Onboarding Completion Rate (NEW v1.2)</w:t>
            </w:r>
          </w:p>
        </w:tc>
        <w:tc>
          <w:tcPr>
            <w:tcW w:type="dxa" w:w="4960"/>
            <w:tcBorders>
              <w:top w:val="single" w:color="BFBFBF" w:sz="6"/>
              <w:left w:val="single" w:color="BFBFBF" w:sz="6"/>
              <w:bottom w:val="single" w:color="BFBFBF" w:sz="6"/>
              <w:right w:val="single" w:color="BFBFBF" w:sz="6"/>
            </w:tcBorders>
            <w:tcMar>
              <w:top w:type="dxa" w:w="90"/>
              <w:left w:type="dxa" w:w="140"/>
              <w:bottom w:type="dxa" w:w="90"/>
              <w:right w:type="dxa" w:w="140"/>
            </w:tcMar>
          </w:tcPr>
          <w:p>
            <w:pPr>
              <w:spacing w:after="0"/>
            </w:pPr>
            <w:r>
              <w:rPr>
                <w:rFonts w:ascii="Arial" w:cs="Arial" w:eastAsia="Arial" w:hAnsi="Arial"/>
                <w:sz w:val="20"/>
                <w:szCs w:val="20"/>
              </w:rPr>
              <w:t xml:space="preserve">% of upload sessions where the user successfully reaches LIVE state (didn't abandon at the conflict-question stage).</w:t>
            </w:r>
          </w:p>
        </w:tc>
        <w:tc>
          <w:tcPr>
            <w:tcW w:type="dxa" w:w="2000"/>
            <w:tcBorders>
              <w:top w:val="single" w:color="BFBFBF" w:sz="6"/>
              <w:left w:val="single" w:color="BFBFBF" w:sz="6"/>
              <w:bottom w:val="single" w:color="BFBFBF" w:sz="6"/>
              <w:right w:val="single" w:color="BFBFBF" w:sz="6"/>
            </w:tcBorders>
            <w:tcMar>
              <w:top w:type="dxa" w:w="90"/>
              <w:left w:type="dxa" w:w="140"/>
              <w:bottom w:type="dxa" w:w="90"/>
              <w:right w:type="dxa" w:w="140"/>
            </w:tcMar>
          </w:tcPr>
          <w:p>
            <w:pPr>
              <w:spacing w:after="0"/>
            </w:pPr>
            <w:r>
              <w:rPr>
                <w:rFonts w:ascii="Arial" w:cs="Arial" w:eastAsia="Arial" w:hAnsi="Arial"/>
                <w:sz w:val="20"/>
                <w:szCs w:val="20"/>
              </w:rPr>
              <w:t xml:space="preserve">≥ 90%</w:t>
            </w:r>
          </w:p>
        </w:tc>
      </w:tr>
      <w:tr>
        <w:tc>
          <w:tcPr>
            <w:tcW w:type="dxa" w:w="2400"/>
            <w:tcBorders>
              <w:top w:val="single" w:color="BFBFBF" w:sz="6"/>
              <w:left w:val="single" w:color="BFBFBF" w:sz="6"/>
              <w:bottom w:val="single" w:color="BFBFBF" w:sz="6"/>
              <w:right w:val="single" w:color="BFBFBF" w:sz="6"/>
            </w:tcBorders>
            <w:shd w:fill="F2F2F2" w:val="clear"/>
            <w:tcMar>
              <w:top w:type="dxa" w:w="90"/>
              <w:left w:type="dxa" w:w="140"/>
              <w:bottom w:type="dxa" w:w="90"/>
              <w:right w:type="dxa" w:w="140"/>
            </w:tcMar>
          </w:tcPr>
          <w:p>
            <w:pPr>
              <w:spacing w:after="0"/>
            </w:pPr>
            <w:r>
              <w:rPr>
                <w:rFonts w:ascii="Arial" w:cs="Arial" w:eastAsia="Arial" w:hAnsi="Arial"/>
                <w:sz w:val="20"/>
                <w:szCs w:val="20"/>
              </w:rPr>
              <w:t xml:space="preserve">Hallucination Rate (NEW)</w:t>
            </w:r>
          </w:p>
        </w:tc>
        <w:tc>
          <w:tcPr>
            <w:tcW w:type="dxa" w:w="4960"/>
            <w:tcBorders>
              <w:top w:val="single" w:color="BFBFBF" w:sz="6"/>
              <w:left w:val="single" w:color="BFBFBF" w:sz="6"/>
              <w:bottom w:val="single" w:color="BFBFBF" w:sz="6"/>
              <w:right w:val="single" w:color="BFBFBF" w:sz="6"/>
            </w:tcBorders>
            <w:shd w:fill="F2F2F2" w:val="clear"/>
            <w:tcMar>
              <w:top w:type="dxa" w:w="90"/>
              <w:left w:type="dxa" w:w="140"/>
              <w:bottom w:type="dxa" w:w="90"/>
              <w:right w:type="dxa" w:w="140"/>
            </w:tcMar>
          </w:tcPr>
          <w:p>
            <w:pPr>
              <w:spacing w:after="0"/>
            </w:pPr>
            <w:r>
              <w:rPr>
                <w:rFonts w:ascii="Arial" w:cs="Arial" w:eastAsia="Arial" w:hAnsi="Arial"/>
                <w:sz w:val="20"/>
                <w:szCs w:val="20"/>
              </w:rPr>
              <w:t xml:space="preserve">% of responses containing a number not traceable to a citation envelope.</w:t>
            </w:r>
          </w:p>
        </w:tc>
        <w:tc>
          <w:tcPr>
            <w:tcW w:type="dxa" w:w="2000"/>
            <w:tcBorders>
              <w:top w:val="single" w:color="BFBFBF" w:sz="6"/>
              <w:left w:val="single" w:color="BFBFBF" w:sz="6"/>
              <w:bottom w:val="single" w:color="BFBFBF" w:sz="6"/>
              <w:right w:val="single" w:color="BFBFBF" w:sz="6"/>
            </w:tcBorders>
            <w:shd w:fill="F2F2F2" w:val="clear"/>
            <w:tcMar>
              <w:top w:type="dxa" w:w="90"/>
              <w:left w:type="dxa" w:w="140"/>
              <w:bottom w:type="dxa" w:w="90"/>
              <w:right w:type="dxa" w:w="140"/>
            </w:tcMar>
          </w:tcPr>
          <w:p>
            <w:pPr>
              <w:spacing w:after="0"/>
            </w:pPr>
            <w:r>
              <w:rPr>
                <w:rFonts w:ascii="Arial" w:cs="Arial" w:eastAsia="Arial" w:hAnsi="Arial"/>
                <w:sz w:val="20"/>
                <w:szCs w:val="20"/>
              </w:rPr>
              <w:t xml:space="preserve">0%</w:t>
            </w:r>
          </w:p>
        </w:tc>
      </w:tr>
      <w:tr>
        <w:tc>
          <w:tcPr>
            <w:tcW w:type="dxa" w:w="2400"/>
            <w:tcBorders>
              <w:top w:val="single" w:color="BFBFBF" w:sz="6"/>
              <w:left w:val="single" w:color="BFBFBF" w:sz="6"/>
              <w:bottom w:val="single" w:color="BFBFBF" w:sz="6"/>
              <w:right w:val="single" w:color="BFBFBF" w:sz="6"/>
            </w:tcBorders>
            <w:tcMar>
              <w:top w:type="dxa" w:w="90"/>
              <w:left w:type="dxa" w:w="140"/>
              <w:bottom w:type="dxa" w:w="90"/>
              <w:right w:type="dxa" w:w="140"/>
            </w:tcMar>
          </w:tcPr>
          <w:p>
            <w:pPr>
              <w:spacing w:after="0"/>
            </w:pPr>
            <w:r>
              <w:rPr>
                <w:rFonts w:ascii="Arial" w:cs="Arial" w:eastAsia="Arial" w:hAnsi="Arial"/>
                <w:sz w:val="20"/>
                <w:szCs w:val="20"/>
              </w:rPr>
              <w:t xml:space="preserve">Citation Coverage (NEW)</w:t>
            </w:r>
          </w:p>
        </w:tc>
        <w:tc>
          <w:tcPr>
            <w:tcW w:type="dxa" w:w="4960"/>
            <w:tcBorders>
              <w:top w:val="single" w:color="BFBFBF" w:sz="6"/>
              <w:left w:val="single" w:color="BFBFBF" w:sz="6"/>
              <w:bottom w:val="single" w:color="BFBFBF" w:sz="6"/>
              <w:right w:val="single" w:color="BFBFBF" w:sz="6"/>
            </w:tcBorders>
            <w:tcMar>
              <w:top w:type="dxa" w:w="90"/>
              <w:left w:type="dxa" w:w="140"/>
              <w:bottom w:type="dxa" w:w="90"/>
              <w:right w:type="dxa" w:w="140"/>
            </w:tcMar>
          </w:tcPr>
          <w:p>
            <w:pPr>
              <w:spacing w:after="0"/>
            </w:pPr>
            <w:r>
              <w:rPr>
                <w:rFonts w:ascii="Arial" w:cs="Arial" w:eastAsia="Arial" w:hAnsi="Arial"/>
                <w:sz w:val="20"/>
                <w:szCs w:val="20"/>
              </w:rPr>
              <w:t xml:space="preserve">% of numerical claims in responses with a valid citation envelope.</w:t>
            </w:r>
          </w:p>
        </w:tc>
        <w:tc>
          <w:tcPr>
            <w:tcW w:type="dxa" w:w="2000"/>
            <w:tcBorders>
              <w:top w:val="single" w:color="BFBFBF" w:sz="6"/>
              <w:left w:val="single" w:color="BFBFBF" w:sz="6"/>
              <w:bottom w:val="single" w:color="BFBFBF" w:sz="6"/>
              <w:right w:val="single" w:color="BFBFBF" w:sz="6"/>
            </w:tcBorders>
            <w:tcMar>
              <w:top w:type="dxa" w:w="90"/>
              <w:left w:type="dxa" w:w="140"/>
              <w:bottom w:type="dxa" w:w="90"/>
              <w:right w:type="dxa" w:w="140"/>
            </w:tcMar>
          </w:tcPr>
          <w:p>
            <w:pPr>
              <w:spacing w:after="0"/>
            </w:pPr>
            <w:r>
              <w:rPr>
                <w:rFonts w:ascii="Arial" w:cs="Arial" w:eastAsia="Arial" w:hAnsi="Arial"/>
                <w:sz w:val="20"/>
                <w:szCs w:val="20"/>
              </w:rPr>
              <w:t xml:space="preserve">100%</w:t>
            </w:r>
          </w:p>
        </w:tc>
      </w:tr>
    </w:tbl>
    <w:p>
      <w:pPr>
        <w:spacing w:after="120"/>
      </w:pPr>
    </w:p>
    <w:p>
      <w:pPr>
        <w:pStyle w:val="Heading2"/>
        <w:spacing w:after="120" w:before="220"/>
      </w:pPr>
      <w:r>
        <w:rPr>
          <w:rFonts w:ascii="Arial" w:cs="Arial" w:eastAsia="Arial" w:hAnsi="Arial"/>
          <w:b/>
          <w:bCs/>
          <w:sz w:val="26"/>
          <w:szCs w:val="26"/>
        </w:rPr>
        <w:t xml:space="preserve">8.2 Test Corpus</w:t>
      </w:r>
    </w:p>
    <w:p>
      <w:pPr>
        <w:spacing w:after="120" w:line="300"/>
      </w:pPr>
      <w:r>
        <w:rPr>
          <w:rFonts w:ascii="Arial" w:cs="Arial" w:eastAsia="Arial" w:hAnsi="Arial"/>
          <w:sz w:val="22"/>
          <w:szCs w:val="22"/>
        </w:rPr>
        <w:t xml:space="preserve">The five-file review corpus (Glow Naturals CSV, Sharma Textiles xlsx, Krishnan Engineering xlsx, ZenithOps data room xlsx, ZenithOps CIM docx) becomes the seed of the golden dataset. Each file's known interpretation decisions, unit conversions, and cross-source conflicts are catalogued and used as ground truth for the Ingestion Fidelity and Conflict Surfacing metrics.</w:t>
      </w:r>
    </w:p>
    <w:p>
      <w:r>
        <w:br w:type="page"/>
      </w:r>
    </w:p>
    <w:p>
      <w:pPr>
        <w:pStyle w:val="Heading1"/>
        <w:spacing w:after="160" w:before="280"/>
      </w:pPr>
      <w:r>
        <w:rPr>
          <w:rFonts w:ascii="Arial" w:cs="Arial" w:eastAsia="Arial" w:hAnsi="Arial"/>
          <w:b/>
          <w:bCs/>
          <w:sz w:val="32"/>
          <w:szCs w:val="32"/>
        </w:rPr>
        <w:t xml:space="preserve">Appendix A — Corpus-Driven Edge Cases</w:t>
      </w:r>
    </w:p>
    <w:p>
      <w:pPr>
        <w:spacing w:after="120" w:line="300"/>
      </w:pPr>
      <w:r>
        <w:rPr>
          <w:rFonts w:ascii="Arial" w:cs="Arial" w:eastAsia="Arial" w:hAnsi="Arial"/>
          <w:sz w:val="22"/>
          <w:szCs w:val="22"/>
        </w:rPr>
        <w:t xml:space="preserve">This appendix is new in v1.1. It catalogues the specific edge cases in the five-file review corpus that drove each revision in this document. Engineers building the ingestion pipeline should treat this as the minimum set of cases the pipeline must handle.</w:t>
      </w:r>
    </w:p>
    <w:p>
      <w:pPr>
        <w:pStyle w:val="Heading2"/>
        <w:spacing w:after="120" w:before="220"/>
      </w:pPr>
      <w:r>
        <w:rPr>
          <w:rFonts w:ascii="Arial" w:cs="Arial" w:eastAsia="Arial" w:hAnsi="Arial"/>
          <w:b/>
          <w:bCs/>
          <w:sz w:val="26"/>
          <w:szCs w:val="26"/>
        </w:rPr>
        <w:t xml:space="preserve">A.1 Glow Naturals — monthly P&amp;L CSV</w:t>
      </w:r>
    </w:p>
    <w:p>
      <w:pPr>
        <w:pStyle w:val="ListParagraph"/>
        <w:numPr>
          <w:ilvl w:val="0"/>
          <w:numId w:val="2"/>
        </w:numPr>
        <w:spacing w:after="80" w:line="300"/>
      </w:pPr>
      <w:r>
        <w:rPr>
          <w:rFonts w:ascii="Arial" w:cs="Arial" w:eastAsia="Arial" w:hAnsi="Arial"/>
          <w:sz w:val="22"/>
          <w:szCs w:val="22"/>
        </w:rPr>
        <w:t xml:space="preserve">Title row + units disclaimer prepended to data.</w:t>
      </w:r>
    </w:p>
    <w:p>
      <w:pPr>
        <w:pStyle w:val="ListParagraph"/>
        <w:numPr>
          <w:ilvl w:val="0"/>
          <w:numId w:val="2"/>
        </w:numPr>
        <w:spacing w:after="80" w:line="300"/>
      </w:pPr>
      <w:r>
        <w:rPr>
          <w:rFonts w:ascii="Arial" w:cs="Arial" w:eastAsia="Arial" w:hAnsi="Arial"/>
          <w:sz w:val="22"/>
          <w:szCs w:val="22"/>
        </w:rPr>
        <w:t xml:space="preserve">TOTAL row interleaved with monthly time-series data.</w:t>
      </w:r>
    </w:p>
    <w:p>
      <w:pPr>
        <w:pStyle w:val="ListParagraph"/>
        <w:numPr>
          <w:ilvl w:val="0"/>
          <w:numId w:val="2"/>
        </w:numPr>
        <w:spacing w:after="80" w:line="300"/>
      </w:pPr>
      <w:r>
        <w:rPr>
          <w:rFonts w:ascii="Arial" w:cs="Arial" w:eastAsia="Arial" w:hAnsi="Arial"/>
          <w:sz w:val="22"/>
          <w:szCs w:val="22"/>
        </w:rPr>
        <w:t xml:space="preserve">Inline metric annotation: "67.0% (calc)" — value fused with provenance comment.</w:t>
      </w:r>
    </w:p>
    <w:p>
      <w:pPr>
        <w:pStyle w:val="ListParagraph"/>
        <w:numPr>
          <w:ilvl w:val="0"/>
          <w:numId w:val="2"/>
        </w:numPr>
        <w:spacing w:after="80" w:line="300"/>
      </w:pPr>
      <w:r>
        <w:rPr>
          <w:rFonts w:ascii="Arial" w:cs="Arial" w:eastAsia="Arial" w:hAnsi="Arial"/>
          <w:sz w:val="22"/>
          <w:szCs w:val="22"/>
        </w:rPr>
        <w:t xml:space="preserve">Free-text "notes" column carrying variance explanations ("monsoon dip," "diwali peak").</w:t>
      </w:r>
    </w:p>
    <w:p>
      <w:pPr>
        <w:pStyle w:val="ListParagraph"/>
        <w:numPr>
          <w:ilvl w:val="0"/>
          <w:numId w:val="2"/>
        </w:numPr>
        <w:spacing w:after="80" w:line="300"/>
      </w:pPr>
      <w:r>
        <w:rPr>
          <w:rFonts w:ascii="Arial" w:cs="Arial" w:eastAsia="Arial" w:hAnsi="Arial"/>
          <w:sz w:val="22"/>
          <w:szCs w:val="22"/>
        </w:rPr>
        <w:t xml:space="preserve">Footer NOTES describing structural changes mid-year (rent step-up, salary step-up) — material to variance analysis but easily lost to ChromaDB.</w:t>
      </w:r>
    </w:p>
    <w:p>
      <w:pPr>
        <w:pStyle w:val="Heading2"/>
        <w:spacing w:after="120" w:before="220"/>
      </w:pPr>
      <w:r>
        <w:rPr>
          <w:rFonts w:ascii="Arial" w:cs="Arial" w:eastAsia="Arial" w:hAnsi="Arial"/>
          <w:b/>
          <w:bCs/>
          <w:sz w:val="26"/>
          <w:szCs w:val="26"/>
        </w:rPr>
        <w:t xml:space="preserve">A.2 Sharma Textiles — FY24 financials xlsx</w:t>
      </w:r>
    </w:p>
    <w:p>
      <w:pPr>
        <w:pStyle w:val="ListParagraph"/>
        <w:numPr>
          <w:ilvl w:val="0"/>
          <w:numId w:val="2"/>
        </w:numPr>
        <w:spacing w:after="80" w:line="300"/>
      </w:pPr>
      <w:r>
        <w:rPr>
          <w:rFonts w:ascii="Arial" w:cs="Arial" w:eastAsia="Arial" w:hAnsi="Arial"/>
          <w:sz w:val="22"/>
          <w:szCs w:val="22"/>
        </w:rPr>
        <w:t xml:space="preserve">Three sheets, three different units: Lakhs (P&amp;L), Crore (Balance Sheet), mixed Lakhs/absolute Rupees (Other Exp Detail).</w:t>
      </w:r>
    </w:p>
    <w:p>
      <w:pPr>
        <w:pStyle w:val="ListParagraph"/>
        <w:numPr>
          <w:ilvl w:val="0"/>
          <w:numId w:val="2"/>
        </w:numPr>
        <w:spacing w:after="80" w:line="300"/>
      </w:pPr>
      <w:r>
        <w:rPr>
          <w:rFonts w:ascii="Arial" w:cs="Arial" w:eastAsia="Arial" w:hAnsi="Arial"/>
          <w:sz w:val="22"/>
          <w:szCs w:val="22"/>
        </w:rPr>
        <w:t xml:space="preserve">Accounting parens for negatives: (8.20), (124.50).</w:t>
      </w:r>
    </w:p>
    <w:p>
      <w:pPr>
        <w:pStyle w:val="ListParagraph"/>
        <w:numPr>
          <w:ilvl w:val="0"/>
          <w:numId w:val="2"/>
        </w:numPr>
        <w:spacing w:after="80" w:line="300"/>
      </w:pPr>
      <w:r>
        <w:rPr>
          <w:rFonts w:ascii="Arial" w:cs="Arial" w:eastAsia="Arial" w:hAnsi="Arial"/>
          <w:sz w:val="22"/>
          <w:szCs w:val="22"/>
        </w:rPr>
        <w:t xml:space="preserve">Sheet's own Total cell computed wrongly because it sums mixed-unit rows.</w:t>
      </w:r>
    </w:p>
    <w:p>
      <w:pPr>
        <w:pStyle w:val="ListParagraph"/>
        <w:numPr>
          <w:ilvl w:val="0"/>
          <w:numId w:val="2"/>
        </w:numPr>
        <w:spacing w:after="80" w:line="300"/>
      </w:pPr>
      <w:r>
        <w:rPr>
          <w:rFonts w:ascii="Arial" w:cs="Arial" w:eastAsia="Arial" w:hAnsi="Arial"/>
          <w:sz w:val="22"/>
          <w:szCs w:val="22"/>
        </w:rPr>
        <w:t xml:space="preserve">Four-year comparatives in one sheet — implicit period mapping required.</w:t>
      </w:r>
    </w:p>
    <w:p>
      <w:pPr>
        <w:pStyle w:val="ListParagraph"/>
        <w:numPr>
          <w:ilvl w:val="0"/>
          <w:numId w:val="2"/>
        </w:numPr>
        <w:spacing w:after="80" w:line="300"/>
      </w:pPr>
      <w:r>
        <w:rPr>
          <w:rFonts w:ascii="Arial" w:cs="Arial" w:eastAsia="Arial" w:hAnsi="Arial"/>
          <w:sz w:val="22"/>
          <w:szCs w:val="22"/>
        </w:rPr>
        <w:t xml:space="preserve">Footnote about Rs. 1.20 Cr disputed receivable — material qualitative context attached to a specific Balance Sheet line.</w:t>
      </w:r>
    </w:p>
    <w:p>
      <w:pPr>
        <w:pStyle w:val="Heading2"/>
        <w:spacing w:after="120" w:before="220"/>
      </w:pPr>
      <w:r>
        <w:rPr>
          <w:rFonts w:ascii="Arial" w:cs="Arial" w:eastAsia="Arial" w:hAnsi="Arial"/>
          <w:b/>
          <w:bCs/>
          <w:sz w:val="26"/>
          <w:szCs w:val="26"/>
        </w:rPr>
        <w:t xml:space="preserve">A.3 Krishnan Engineering — 3-year P&amp;L xlsx</w:t>
      </w:r>
    </w:p>
    <w:p>
      <w:pPr>
        <w:pStyle w:val="ListParagraph"/>
        <w:numPr>
          <w:ilvl w:val="0"/>
          <w:numId w:val="2"/>
        </w:numPr>
        <w:spacing w:after="80" w:line="300"/>
      </w:pPr>
      <w:r>
        <w:rPr>
          <w:rFonts w:ascii="Arial" w:cs="Arial" w:eastAsia="Arial" w:hAnsi="Arial"/>
          <w:sz w:val="22"/>
          <w:szCs w:val="22"/>
        </w:rPr>
        <w:t xml:space="preserve">Three sheets in three completely different formats: owner narrative, Tally export, customer ledger.</w:t>
      </w:r>
    </w:p>
    <w:p>
      <w:pPr>
        <w:pStyle w:val="ListParagraph"/>
        <w:numPr>
          <w:ilvl w:val="0"/>
          <w:numId w:val="2"/>
        </w:numPr>
        <w:spacing w:after="80" w:line="300"/>
      </w:pPr>
      <w:r>
        <w:rPr>
          <w:rFonts w:ascii="Arial" w:cs="Arial" w:eastAsia="Arial" w:hAnsi="Arial"/>
          <w:sz w:val="22"/>
          <w:szCs w:val="22"/>
        </w:rPr>
        <w:t xml:space="preserve">Owner-narrative cells contain prose: "Rs. 84.5 Cr (incl. GST)," "approx 22%," "slight rounding."</w:t>
      </w:r>
    </w:p>
    <w:p>
      <w:pPr>
        <w:pStyle w:val="ListParagraph"/>
        <w:numPr>
          <w:ilvl w:val="0"/>
          <w:numId w:val="2"/>
        </w:numPr>
        <w:spacing w:after="80" w:line="300"/>
      </w:pPr>
      <w:r>
        <w:rPr>
          <w:rFonts w:ascii="Arial" w:cs="Arial" w:eastAsia="Arial" w:hAnsi="Arial"/>
          <w:sz w:val="22"/>
          <w:szCs w:val="22"/>
        </w:rPr>
        <w:t xml:space="preserve">Tally export uses a two-column Dr/Cr ledger layout in the same row — not standard tabular.</w:t>
      </w:r>
    </w:p>
    <w:p>
      <w:pPr>
        <w:pStyle w:val="ListParagraph"/>
        <w:numPr>
          <w:ilvl w:val="0"/>
          <w:numId w:val="2"/>
        </w:numPr>
        <w:spacing w:after="80" w:line="300"/>
      </w:pPr>
      <w:r>
        <w:rPr>
          <w:rFonts w:ascii="Arial" w:cs="Arial" w:eastAsia="Arial" w:hAnsi="Arial"/>
          <w:sz w:val="22"/>
          <w:szCs w:val="22"/>
        </w:rPr>
        <w:t xml:space="preserve">Tally totals do not balance (959.22 Cr Dr vs 1371.04 Cr Cr) due to incomplete export.</w:t>
      </w:r>
    </w:p>
    <w:p>
      <w:pPr>
        <w:pStyle w:val="ListParagraph"/>
        <w:numPr>
          <w:ilvl w:val="0"/>
          <w:numId w:val="2"/>
        </w:numPr>
        <w:spacing w:after="80" w:line="300"/>
      </w:pPr>
      <w:r>
        <w:rPr>
          <w:rFonts w:ascii="Arial" w:cs="Arial" w:eastAsia="Arial" w:hAnsi="Arial"/>
          <w:sz w:val="22"/>
          <w:szCs w:val="22"/>
        </w:rPr>
        <w:t xml:space="preserve">Three internally inconsistent FY24 net turnover values across the three sheets — the canonical reconciliation test case.</w:t>
      </w:r>
    </w:p>
    <w:p>
      <w:pPr>
        <w:pStyle w:val="Heading2"/>
        <w:spacing w:after="120" w:before="220"/>
      </w:pPr>
      <w:r>
        <w:rPr>
          <w:rFonts w:ascii="Arial" w:cs="Arial" w:eastAsia="Arial" w:hAnsi="Arial"/>
          <w:b/>
          <w:bCs/>
          <w:sz w:val="26"/>
          <w:szCs w:val="26"/>
        </w:rPr>
        <w:t xml:space="preserve">A.4 ZenithOps — financials data room xlsx</w:t>
      </w:r>
    </w:p>
    <w:p>
      <w:pPr>
        <w:pStyle w:val="ListParagraph"/>
        <w:numPr>
          <w:ilvl w:val="0"/>
          <w:numId w:val="2"/>
        </w:numPr>
        <w:spacing w:after="80" w:line="300"/>
      </w:pPr>
      <w:r>
        <w:rPr>
          <w:rFonts w:ascii="Arial" w:cs="Arial" w:eastAsia="Arial" w:hAnsi="Arial"/>
          <w:sz w:val="22"/>
          <w:szCs w:val="22"/>
        </w:rPr>
        <w:t xml:space="preserve">Percentages stored as raw decimals (0.698 for 69.8%) — column-level type inference required.</w:t>
      </w:r>
    </w:p>
    <w:p>
      <w:pPr>
        <w:pStyle w:val="ListParagraph"/>
        <w:numPr>
          <w:ilvl w:val="0"/>
          <w:numId w:val="2"/>
        </w:numPr>
        <w:spacing w:after="80" w:line="300"/>
      </w:pPr>
      <w:r>
        <w:rPr>
          <w:rFonts w:ascii="Arial" w:cs="Arial" w:eastAsia="Arial" w:hAnsi="Arial"/>
          <w:sz w:val="22"/>
          <w:szCs w:val="22"/>
        </w:rPr>
        <w:t xml:space="preserve">Row label embeds metadata: "Tax expense (21%)" mixes the rate into the line-item name.</w:t>
      </w:r>
    </w:p>
    <w:p>
      <w:pPr>
        <w:pStyle w:val="ListParagraph"/>
        <w:numPr>
          <w:ilvl w:val="0"/>
          <w:numId w:val="2"/>
        </w:numPr>
        <w:spacing w:after="80" w:line="300"/>
      </w:pPr>
      <w:r>
        <w:rPr>
          <w:rFonts w:ascii="Arial" w:cs="Arial" w:eastAsia="Arial" w:hAnsi="Arial"/>
          <w:sz w:val="22"/>
          <w:szCs w:val="22"/>
        </w:rPr>
        <w:t xml:space="preserve">FY2025E mixes 11 months actuals + 1 month forecast under a single column — query response should disclose the basis.</w:t>
      </w:r>
    </w:p>
    <w:p>
      <w:pPr>
        <w:pStyle w:val="ListParagraph"/>
        <w:numPr>
          <w:ilvl w:val="0"/>
          <w:numId w:val="2"/>
        </w:numPr>
        <w:spacing w:after="80" w:line="300"/>
      </w:pPr>
      <w:r>
        <w:rPr>
          <w:rFonts w:ascii="Arial" w:cs="Arial" w:eastAsia="Arial" w:hAnsi="Arial"/>
          <w:sz w:val="22"/>
          <w:szCs w:val="22"/>
        </w:rPr>
        <w:t xml:space="preserve">Cohort table uses triangular layout with empty future-year cells.</w:t>
      </w:r>
    </w:p>
    <w:p>
      <w:pPr>
        <w:pStyle w:val="ListParagraph"/>
        <w:numPr>
          <w:ilvl w:val="0"/>
          <w:numId w:val="2"/>
        </w:numPr>
        <w:spacing w:after="80" w:line="300"/>
      </w:pPr>
      <w:r>
        <w:rPr>
          <w:rFonts w:ascii="Arial" w:cs="Arial" w:eastAsia="Arial" w:hAnsi="Arial"/>
          <w:sz w:val="22"/>
          <w:szCs w:val="22"/>
        </w:rPr>
        <w:t xml:space="preserve">Top 20 customer table includes a summary row ("Top 20 % of Total ARR") that is statistic, not data.</w:t>
      </w:r>
    </w:p>
    <w:p>
      <w:pPr>
        <w:pStyle w:val="Heading2"/>
        <w:spacing w:after="120" w:before="220"/>
      </w:pPr>
      <w:r>
        <w:rPr>
          <w:rFonts w:ascii="Arial" w:cs="Arial" w:eastAsia="Arial" w:hAnsi="Arial"/>
          <w:b/>
          <w:bCs/>
          <w:sz w:val="26"/>
          <w:szCs w:val="26"/>
        </w:rPr>
        <w:t xml:space="preserve">A.5 ZenithOps — CIM docx</w:t>
      </w:r>
    </w:p>
    <w:p>
      <w:pPr>
        <w:pStyle w:val="ListParagraph"/>
        <w:numPr>
          <w:ilvl w:val="0"/>
          <w:numId w:val="2"/>
        </w:numPr>
        <w:spacing w:after="80" w:line="300"/>
      </w:pPr>
      <w:r>
        <w:rPr>
          <w:rFonts w:ascii="Arial" w:cs="Arial" w:eastAsia="Arial" w:hAnsi="Arial"/>
          <w:sz w:val="22"/>
          <w:szCs w:val="22"/>
        </w:rPr>
        <w:t xml:space="preserve">Embedded P&amp;L, ARR build, cohort retention, and Top 20 customer tables — all numerical content inside a "qualitative" document.</w:t>
      </w:r>
    </w:p>
    <w:p>
      <w:pPr>
        <w:pStyle w:val="ListParagraph"/>
        <w:numPr>
          <w:ilvl w:val="0"/>
          <w:numId w:val="2"/>
        </w:numPr>
        <w:spacing w:after="80" w:line="300"/>
      </w:pPr>
      <w:r>
        <w:rPr>
          <w:rFonts w:ascii="Arial" w:cs="Arial" w:eastAsia="Arial" w:hAnsi="Arial"/>
          <w:sz w:val="22"/>
          <w:szCs w:val="22"/>
        </w:rPr>
        <w:t xml:space="preserve">Currently consistent with the data-room xlsx, but versions will drift in real PE workflows.</w:t>
      </w:r>
    </w:p>
    <w:p>
      <w:pPr>
        <w:pStyle w:val="ListParagraph"/>
        <w:numPr>
          <w:ilvl w:val="0"/>
          <w:numId w:val="2"/>
        </w:numPr>
        <w:spacing w:after="80" w:line="300"/>
      </w:pPr>
      <w:r>
        <w:rPr>
          <w:rFonts w:ascii="Arial" w:cs="Arial" w:eastAsia="Arial" w:hAnsi="Arial"/>
          <w:sz w:val="22"/>
          <w:szCs w:val="22"/>
        </w:rPr>
        <w:t xml:space="preserve">Qualitative narrative around the tables (e.g., "Rule of 40 reading at Q4 FY2025 stands at 65%") restates numbers from the tables — RAG will surface these and may contradict DuckDB-resident facts.</w:t>
      </w:r>
    </w:p>
    <w:p>
      <w:pPr>
        <w:pStyle w:val="ListParagraph"/>
        <w:numPr>
          <w:ilvl w:val="0"/>
          <w:numId w:val="2"/>
        </w:numPr>
        <w:spacing w:after="80" w:line="300"/>
      </w:pPr>
      <w:r>
        <w:rPr>
          <w:rFonts w:ascii="Arial" w:cs="Arial" w:eastAsia="Arial" w:hAnsi="Arial"/>
          <w:sz w:val="22"/>
          <w:szCs w:val="22"/>
        </w:rPr>
        <w:t xml:space="preserve">Customer names anonymized as Customer A–T — entity resolution must not attempt to map them to real names.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20"/>
      <w:outlineLvl w:val="1"/>
    </w:pPr>
    <w:rPr>
      <w:rFonts w:ascii="Arial" w:cs="Arial" w:eastAsia="Arial" w:hAnsi="Arial"/>
      <w:b/>
      <w:bCs/>
      <w:color w:val="1F3864"/>
      <w:sz w:val="26"/>
      <w:szCs w:val="26"/>
    </w:rPr>
  </w:style>
  <w:style w:type="paragraph" w:styleId="Heading3">
    <w:name w:val="Heading 3"/>
    <w:basedOn w:val="Normal"/>
    <w:next w:val="Normal"/>
    <w:qFormat/>
    <w:pPr>
      <w:spacing w:after="100" w:before="180"/>
      <w:outlineLvl w:val="2"/>
    </w:pPr>
    <w:rPr>
      <w:rFonts w:ascii="Arial" w:cs="Arial" w:eastAsia="Arial" w:hAnsi="Arial"/>
      <w:b/>
      <w:bCs/>
      <w:color w:val="2E5599"/>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Deterministic Financial AI Co-Pilot — PRD v1.1</dc:title>
  <dc:creator>Claude</dc:creator>
  <cp:lastModifiedBy>Un-named</cp:lastModifiedBy>
  <cp:revision>1</cp:revision>
  <dcterms:created xsi:type="dcterms:W3CDTF">2026-05-01T06:37:35.778Z</dcterms:created>
  <dcterms:modified xsi:type="dcterms:W3CDTF">2026-05-01T06:37:35.800Z</dcterms:modified>
</cp:coreProperties>
</file>

<file path=docProps/custom.xml><?xml version="1.0" encoding="utf-8"?>
<Properties xmlns="http://schemas.openxmlformats.org/officeDocument/2006/custom-properties" xmlns:vt="http://schemas.openxmlformats.org/officeDocument/2006/docPropsVTypes"/>
</file>