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sz w:val="48"/>
          <w:szCs w:val="48"/>
        </w:rPr>
        <w:t xml:space="preserve"> </w:t>
      </w:r>
    </w:p>
    <w:p>
      <w:pPr>
        <w:spacing w:after="100" w:before="200"/>
        <w:jc w:val="center"/>
      </w:pPr>
      <w:r>
        <w:rPr>
          <w:rFonts w:ascii="Calibri" w:cs="Calibri" w:eastAsia="Calibri" w:hAnsi="Calibri"/>
          <w:b/>
          <w:bCs/>
          <w:color w:val="8B0000"/>
          <w:sz w:val="22"/>
          <w:szCs w:val="22"/>
        </w:rPr>
        <w:t xml:space="preserve">STRICTLY PRIVATE &amp; CONFIDENTIAL</w:t>
      </w:r>
    </w:p>
    <w:p>
      <w:pPr>
        <w:spacing w:after="100" w:before="600"/>
        <w:jc w:val="center"/>
      </w:pPr>
      <w:r>
        <w:rPr>
          <w:rFonts w:ascii="Calibri" w:cs="Calibri" w:eastAsia="Calibri" w:hAnsi="Calibri"/>
          <w:b/>
          <w:bCs/>
          <w:color w:val="0B2545"/>
          <w:sz w:val="56"/>
          <w:szCs w:val="56"/>
        </w:rPr>
        <w:t xml:space="preserve">PROJECT ATLAS</w:t>
      </w:r>
    </w:p>
    <w:p>
      <w:pPr>
        <w:pBdr>
          <w:bottom w:val="single" w:color="1F4E79" w:sz="12" w:space="8"/>
        </w:pBdr>
        <w:spacing w:after="200" w:before="100"/>
        <w:jc w:val="center"/>
      </w:pPr>
      <w:r>
        <w:rPr>
          <w:rFonts w:ascii="Calibri" w:cs="Calibri" w:eastAsia="Calibri" w:hAnsi="Calibri"/>
          <w:i/>
          <w:iCs/>
          <w:color w:val="555555"/>
          <w:sz w:val="32"/>
          <w:szCs w:val="32"/>
        </w:rPr>
        <w:t xml:space="preserve">Confidential Investment Memorandum</w:t>
      </w:r>
    </w:p>
    <w:p>
      <w:pPr>
        <w:spacing w:after="80" w:before="600"/>
        <w:jc w:val="center"/>
      </w:pPr>
      <w:r>
        <w:rPr>
          <w:rFonts w:ascii="Calibri" w:cs="Calibri" w:eastAsia="Calibri" w:hAnsi="Calibri"/>
          <w:b/>
          <w:bCs/>
          <w:color w:val="1A1A1A"/>
          <w:sz w:val="40"/>
          <w:szCs w:val="40"/>
        </w:rPr>
        <w:t xml:space="preserve">ZenithOps Inc.</w:t>
      </w:r>
    </w:p>
    <w:p>
      <w:pPr>
        <w:spacing w:after="80" w:before="80"/>
        <w:jc w:val="center"/>
      </w:pPr>
      <w:r>
        <w:rPr>
          <w:rFonts w:ascii="Calibri" w:cs="Calibri" w:eastAsia="Calibri" w:hAnsi="Calibri"/>
          <w:i/>
          <w:iCs/>
          <w:color w:val="555555"/>
          <w:sz w:val="24"/>
          <w:szCs w:val="24"/>
        </w:rPr>
        <w:t xml:space="preserve">Workflow Automation Platform for Mid-Market Operations Teams</w:t>
      </w:r>
    </w:p>
    <w:p>
      <w:pPr>
        <w:spacing w:after="600" w:before="80"/>
        <w:jc w:val="center"/>
      </w:pPr>
      <w:r>
        <w:rPr>
          <w:rFonts w:ascii="Calibri" w:cs="Calibri" w:eastAsia="Calibri" w:hAnsi="Calibri"/>
          <w:color w:val="555555"/>
          <w:sz w:val="22"/>
          <w:szCs w:val="22"/>
        </w:rPr>
        <w:t xml:space="preserve">Headquartered in San Francisco, California</w:t>
      </w:r>
    </w:p>
    <w:p>
      <w:pPr>
        <w:spacing w:after="80" w:before="800"/>
        <w:jc w:val="center"/>
      </w:pPr>
      <w:r>
        <w:rPr>
          <w:rFonts w:ascii="Calibri" w:cs="Calibri" w:eastAsia="Calibri" w:hAnsi="Calibri"/>
          <w:color w:val="555555"/>
          <w:sz w:val="20"/>
          <w:szCs w:val="20"/>
        </w:rPr>
        <w:t xml:space="preserve">Prepared by</w:t>
      </w:r>
    </w:p>
    <w:p>
      <w:pPr>
        <w:spacing w:after="40" w:before="40"/>
        <w:jc w:val="center"/>
      </w:pPr>
      <w:r>
        <w:rPr>
          <w:rFonts w:ascii="Calibri" w:cs="Calibri" w:eastAsia="Calibri" w:hAnsi="Calibri"/>
          <w:b/>
          <w:bCs/>
          <w:color w:val="0B2545"/>
          <w:sz w:val="26"/>
          <w:szCs w:val="26"/>
        </w:rPr>
        <w:t xml:space="preserve">Kautilya Private Equity</w:t>
      </w:r>
    </w:p>
    <w:p>
      <w:pPr>
        <w:spacing w:after="40" w:before="40"/>
        <w:jc w:val="center"/>
      </w:pPr>
      <w:r>
        <w:rPr>
          <w:rFonts w:ascii="Calibri" w:cs="Calibri" w:eastAsia="Calibri" w:hAnsi="Calibri"/>
          <w:i/>
          <w:iCs/>
          <w:color w:val="555555"/>
          <w:sz w:val="20"/>
          <w:szCs w:val="20"/>
        </w:rPr>
        <w:t xml:space="preserve">Sell-Side M&amp;A Advisor</w:t>
      </w:r>
    </w:p>
    <w:p>
      <w:pPr>
        <w:spacing w:after="40" w:before="600"/>
        <w:jc w:val="center"/>
      </w:pPr>
      <w:r>
        <w:rPr>
          <w:rFonts w:ascii="Calibri" w:cs="Calibri" w:eastAsia="Calibri" w:hAnsi="Calibri"/>
          <w:b/>
          <w:bCs/>
          <w:color w:val="1A1A1A"/>
          <w:sz w:val="22"/>
          <w:szCs w:val="22"/>
        </w:rPr>
        <w:t xml:space="preserve">February 2026</w:t>
      </w:r>
    </w:p>
    <w:p>
      <w:pPr>
        <w:spacing w:after="40" w:before="40"/>
        <w:jc w:val="center"/>
      </w:pPr>
      <w:r>
        <w:rPr>
          <w:rFonts w:ascii="Calibri" w:cs="Calibri" w:eastAsia="Calibri" w:hAnsi="Calibri"/>
          <w:color w:val="555555"/>
          <w:sz w:val="16"/>
          <w:szCs w:val="16"/>
        </w:rPr>
        <w:t xml:space="preserve">Document Reference: KPE-CIM-2026-ATL-021</w:t>
      </w:r>
    </w:p>
    <w:p>
      <w:pPr>
        <w:pStyle w:val="Heading1"/>
        <w:pageBreakBefore/>
        <w:pBdr>
          <w:bottom w:val="single" w:color="1F4E79" w:sz="8" w:space="4"/>
        </w:pBdr>
        <w:spacing w:after="180" w:before="240"/>
      </w:pPr>
      <w:r>
        <w:rPr>
          <w:rFonts w:ascii="Calibri" w:cs="Calibri" w:eastAsia="Calibri" w:hAnsi="Calibri"/>
          <w:b/>
          <w:bCs/>
          <w:color w:val="0B2545"/>
          <w:sz w:val="36"/>
          <w:szCs w:val="36"/>
        </w:rPr>
        <w:t xml:space="preserve">Important Notice &amp; Disclaimer</w:t>
      </w:r>
    </w:p>
    <w:p>
      <w:pPr>
        <w:spacing w:after="80" w:before="80"/>
        <w:jc w:val="left"/>
      </w:pPr>
      <w:r>
        <w:rPr>
          <w:rFonts w:ascii="Calibri" w:cs="Calibri" w:eastAsia="Calibri" w:hAnsi="Calibri"/>
          <w:b w:val="false"/>
          <w:bCs w:val="false"/>
          <w:i w:val="false"/>
          <w:iCs w:val="false"/>
          <w:color w:val="1A1A1A"/>
          <w:sz w:val="22"/>
          <w:szCs w:val="22"/>
        </w:rPr>
        <w:t xml:space="preserve">This Confidential Investment Memorandum (the "Memorandum" or "CIM") has been prepared by Kautilya Private Equity ("the Advisor") on behalf of the shareholders of ZenithOps Inc. ("ZenithOps" or the "Company") solely for the purpose of providing prospective investors and acquirers with preliminary information regarding a potential transaction involving the Company. This document is being delivered on a strictly confidential basis to a limited number of parties who have executed a Non-Disclosure Agreement with the Company or its Advisor.</w:t>
      </w:r>
    </w:p>
    <w:p>
      <w:pPr>
        <w:spacing w:after="80" w:before="80"/>
        <w:jc w:val="left"/>
      </w:pPr>
      <w:r>
        <w:rPr>
          <w:rFonts w:ascii="Calibri" w:cs="Calibri" w:eastAsia="Calibri" w:hAnsi="Calibri"/>
          <w:b w:val="false"/>
          <w:bCs w:val="false"/>
          <w:i w:val="false"/>
          <w:iCs w:val="false"/>
          <w:color w:val="1A1A1A"/>
          <w:sz w:val="22"/>
          <w:szCs w:val="22"/>
        </w:rPr>
        <w:t xml:space="preserve">By accepting this Memorandum, the recipient agrees to: (i) treat the information herein as strictly confidential; (ii) not disclose any such information to third parties without the prior written consent of the Advisor; (iii) use such information solely to evaluate the proposed transaction; and (iv) return or destroy this Memorandum and all copies upon request.</w:t>
      </w:r>
    </w:p>
    <w:p>
      <w:pPr>
        <w:spacing w:after="80" w:before="80"/>
        <w:jc w:val="left"/>
      </w:pPr>
      <w:r>
        <w:rPr>
          <w:rFonts w:ascii="Calibri" w:cs="Calibri" w:eastAsia="Calibri" w:hAnsi="Calibri"/>
          <w:b w:val="false"/>
          <w:bCs w:val="false"/>
          <w:i w:val="false"/>
          <w:iCs w:val="false"/>
          <w:color w:val="1A1A1A"/>
          <w:sz w:val="22"/>
          <w:szCs w:val="22"/>
        </w:rPr>
        <w:t xml:space="preserve">The information contained in this Memorandum has been prepared from materials supplied by the Company and from publicly available sources. Neither the Advisor nor the Company makes any express or implied representation or warranty as to the accuracy or completeness of the information contained herein. Certain statements constitute forward-looking statements based on management's current views, expectations, and assumptions; actual results may differ materially.</w:t>
      </w:r>
    </w:p>
    <w:p>
      <w:pPr>
        <w:spacing w:after="80" w:before="80"/>
        <w:jc w:val="left"/>
      </w:pPr>
      <w:r>
        <w:rPr>
          <w:rFonts w:ascii="Calibri" w:cs="Calibri" w:eastAsia="Calibri" w:hAnsi="Calibri"/>
          <w:b w:val="false"/>
          <w:bCs w:val="false"/>
          <w:i w:val="false"/>
          <w:iCs w:val="false"/>
          <w:color w:val="1A1A1A"/>
          <w:sz w:val="22"/>
          <w:szCs w:val="22"/>
        </w:rPr>
        <w:t xml:space="preserve">Customer names referenced in this Memorandum (Customer A through Customer T) are anonymised for confidentiality. Industry sector and geography for each named customer are accurate. A reconciled customer schedule will be provided to qualifying counterparties through the secure data room established for Project Atlas, subject to clean-team protocols.</w:t>
      </w:r>
    </w:p>
    <w:p>
      <w:r>
        <w:rPr>
          <w:rFonts w:ascii="Calibri" w:cs="Calibri" w:eastAsia="Calibri" w:hAnsi="Calibri"/>
          <w:sz w:val="18"/>
          <w:szCs w:val="18"/>
        </w:rPr>
        <w:t xml:space="preserve"> </w:t>
      </w:r>
    </w:p>
    <w:p>
      <w:pPr>
        <w:pStyle w:val="Heading3"/>
        <w:spacing w:after="80" w:before="160"/>
      </w:pPr>
      <w:r>
        <w:rPr>
          <w:rFonts w:ascii="Calibri" w:cs="Calibri" w:eastAsia="Calibri" w:hAnsi="Calibri"/>
          <w:b/>
          <w:bCs/>
          <w:color w:val="1A1A1A"/>
          <w:sz w:val="24"/>
          <w:szCs w:val="24"/>
        </w:rPr>
        <w:t xml:space="preserve">Process Contact</w:t>
      </w:r>
    </w:p>
    <w:p>
      <w:pPr>
        <w:spacing w:after="60" w:before="60"/>
        <w:jc w:val="left"/>
      </w:pPr>
      <w:r>
        <w:rPr>
          <w:rFonts w:ascii="Calibri" w:cs="Calibri" w:eastAsia="Calibri" w:hAnsi="Calibri"/>
          <w:b/>
          <w:bCs/>
          <w:i w:val="false"/>
          <w:iCs w:val="false"/>
          <w:color w:val="1A1A1A"/>
          <w:sz w:val="22"/>
          <w:szCs w:val="22"/>
        </w:rPr>
        <w:t xml:space="preserve">Advisor: </w:t>
      </w:r>
      <w:r>
        <w:rPr>
          <w:rFonts w:ascii="Calibri" w:cs="Calibri" w:eastAsia="Calibri" w:hAnsi="Calibri"/>
          <w:b w:val="false"/>
          <w:bCs w:val="false"/>
          <w:i w:val="false"/>
          <w:iCs w:val="false"/>
          <w:color w:val="1A1A1A"/>
          <w:sz w:val="22"/>
          <w:szCs w:val="22"/>
        </w:rPr>
        <w:t xml:space="preserve">Kautilya Private Equity (Pocket Fund)</w:t>
      </w:r>
    </w:p>
    <w:p>
      <w:pPr>
        <w:spacing w:after="60" w:before="60"/>
        <w:jc w:val="left"/>
      </w:pPr>
      <w:r>
        <w:rPr>
          <w:rFonts w:ascii="Calibri" w:cs="Calibri" w:eastAsia="Calibri" w:hAnsi="Calibri"/>
          <w:b/>
          <w:bCs/>
          <w:i w:val="false"/>
          <w:iCs w:val="false"/>
          <w:color w:val="1A1A1A"/>
          <w:sz w:val="22"/>
          <w:szCs w:val="22"/>
        </w:rPr>
        <w:t xml:space="preserve">Lead Banker: </w:t>
      </w:r>
      <w:r>
        <w:rPr>
          <w:rFonts w:ascii="Calibri" w:cs="Calibri" w:eastAsia="Calibri" w:hAnsi="Calibri"/>
          <w:b w:val="false"/>
          <w:bCs w:val="false"/>
          <w:i w:val="false"/>
          <w:iCs w:val="false"/>
          <w:color w:val="1A1A1A"/>
          <w:sz w:val="22"/>
          <w:szCs w:val="22"/>
        </w:rPr>
        <w:t xml:space="preserve">Dev Shah, Founder &amp; Managing Partner</w:t>
      </w:r>
    </w:p>
    <w:p>
      <w:pPr>
        <w:spacing w:after="60" w:before="60"/>
        <w:jc w:val="left"/>
      </w:pPr>
      <w:r>
        <w:rPr>
          <w:rFonts w:ascii="Calibri" w:cs="Calibri" w:eastAsia="Calibri" w:hAnsi="Calibri"/>
          <w:b/>
          <w:bCs/>
          <w:i w:val="false"/>
          <w:iCs w:val="false"/>
          <w:color w:val="1A1A1A"/>
          <w:sz w:val="22"/>
          <w:szCs w:val="22"/>
        </w:rPr>
        <w:t xml:space="preserve">Engagement Contact: </w:t>
      </w:r>
      <w:r>
        <w:rPr>
          <w:rFonts w:ascii="Calibri" w:cs="Calibri" w:eastAsia="Calibri" w:hAnsi="Calibri"/>
          <w:b w:val="false"/>
          <w:bCs w:val="false"/>
          <w:i w:val="false"/>
          <w:iCs w:val="false"/>
          <w:color w:val="1A1A1A"/>
          <w:sz w:val="22"/>
          <w:szCs w:val="22"/>
        </w:rPr>
        <w:t xml:space="preserve">Aum Mehta, Senior Analyst</w:t>
      </w:r>
    </w:p>
    <w:p>
      <w:pPr>
        <w:spacing w:after="60" w:before="60"/>
        <w:jc w:val="left"/>
      </w:pPr>
      <w:r>
        <w:rPr>
          <w:rFonts w:ascii="Calibri" w:cs="Calibri" w:eastAsia="Calibri" w:hAnsi="Calibri"/>
          <w:b/>
          <w:bCs/>
          <w:i w:val="false"/>
          <w:iCs w:val="false"/>
          <w:color w:val="1A1A1A"/>
          <w:sz w:val="22"/>
          <w:szCs w:val="22"/>
        </w:rPr>
        <w:t xml:space="preserve">Email: </w:t>
      </w:r>
      <w:r>
        <w:rPr>
          <w:rFonts w:ascii="Calibri" w:cs="Calibri" w:eastAsia="Calibri" w:hAnsi="Calibri"/>
          <w:b w:val="false"/>
          <w:bCs w:val="false"/>
          <w:i w:val="false"/>
          <w:iCs w:val="false"/>
          <w:color w:val="1A1A1A"/>
          <w:sz w:val="22"/>
          <w:szCs w:val="22"/>
        </w:rPr>
        <w:t xml:space="preserve">project.atlas@kautilyape.com</w:t>
      </w:r>
    </w:p>
    <w:p>
      <w:pPr>
        <w:spacing w:after="60" w:before="60"/>
        <w:jc w:val="left"/>
      </w:pPr>
      <w:r>
        <w:rPr>
          <w:rFonts w:ascii="Calibri" w:cs="Calibri" w:eastAsia="Calibri" w:hAnsi="Calibri"/>
          <w:b/>
          <w:bCs/>
          <w:i w:val="false"/>
          <w:iCs w:val="false"/>
          <w:color w:val="1A1A1A"/>
          <w:sz w:val="22"/>
          <w:szCs w:val="22"/>
        </w:rPr>
        <w:t xml:space="preserve">Process Reference: </w:t>
      </w:r>
      <w:r>
        <w:rPr>
          <w:rFonts w:ascii="Calibri" w:cs="Calibri" w:eastAsia="Calibri" w:hAnsi="Calibri"/>
          <w:b w:val="false"/>
          <w:bCs w:val="false"/>
          <w:i w:val="false"/>
          <w:iCs w:val="false"/>
          <w:color w:val="1A1A1A"/>
          <w:sz w:val="22"/>
          <w:szCs w:val="22"/>
        </w:rPr>
        <w:t xml:space="preserve">Project Atlas</w:t>
      </w:r>
    </w:p>
    <w:p>
      <w:pPr>
        <w:pStyle w:val="Heading1"/>
        <w:pageBreakBefore/>
        <w:pBdr>
          <w:bottom w:val="single" w:color="1F4E79" w:sz="8" w:space="4"/>
        </w:pBdr>
        <w:spacing w:after="180" w:before="240"/>
      </w:pPr>
      <w:r>
        <w:rPr>
          <w:rFonts w:ascii="Calibri" w:cs="Calibri" w:eastAsia="Calibri" w:hAnsi="Calibri"/>
          <w:b/>
          <w:bCs/>
          <w:color w:val="0B2545"/>
          <w:sz w:val="36"/>
          <w:szCs w:val="36"/>
        </w:rPr>
        <w:t xml:space="preserve">Table of Contents</w:t>
      </w:r>
    </w:p>
    <w:p>
      <w:r>
        <w:rPr>
          <w:rFonts w:ascii="Calibri" w:cs="Calibri" w:eastAsia="Calibri" w:hAnsi="Calibri"/>
          <w:sz w:val="18"/>
          <w:szCs w:val="18"/>
        </w:rPr>
        <w:t xml:space="preserve"> </w:t>
      </w:r>
    </w:p>
    <w:p>
      <w:pPr>
        <w:tabs>
          <w:tab w:val="right" w:pos="9360"/>
        </w:tabs>
        <w:spacing w:after="100" w:before="100"/>
      </w:pPr>
      <w:r>
        <w:rPr>
          <w:rFonts w:ascii="Calibri" w:cs="Calibri" w:eastAsia="Calibri" w:hAnsi="Calibri"/>
          <w:b/>
          <w:bCs/>
          <w:color w:val="1F4E79"/>
          <w:sz w:val="24"/>
          <w:szCs w:val="24"/>
        </w:rPr>
        <w:t xml:space="preserve">1.  </w:t>
      </w:r>
      <w:r>
        <w:rPr>
          <w:rFonts w:ascii="Calibri" w:cs="Calibri" w:eastAsia="Calibri" w:hAnsi="Calibri"/>
          <w:b/>
          <w:bCs/>
          <w:color w:val="0B2545"/>
          <w:sz w:val="24"/>
          <w:szCs w:val="24"/>
        </w:rPr>
        <w:t xml:space="preserve">Executive Summary</w:t>
      </w:r>
      <w:r>
        <w:rPr>
          <w:rFonts w:ascii="Calibri" w:cs="Calibri" w:eastAsia="Calibri" w:hAnsi="Calibri"/>
          <w:color w:val="555555"/>
          <w:sz w:val="24"/>
          <w:szCs w:val="24"/>
        </w:rPr>
        <w:t xml:space="preserve">	4</w:t>
      </w:r>
    </w:p>
    <w:p>
      <w:pPr>
        <w:tabs>
          <w:tab w:val="right" w:pos="9360"/>
        </w:tabs>
        <w:spacing w:after="100" w:before="100"/>
      </w:pPr>
      <w:r>
        <w:rPr>
          <w:rFonts w:ascii="Calibri" w:cs="Calibri" w:eastAsia="Calibri" w:hAnsi="Calibri"/>
          <w:b/>
          <w:bCs/>
          <w:color w:val="1F4E79"/>
          <w:sz w:val="24"/>
          <w:szCs w:val="24"/>
        </w:rPr>
        <w:t xml:space="preserve">2.  </w:t>
      </w:r>
      <w:r>
        <w:rPr>
          <w:rFonts w:ascii="Calibri" w:cs="Calibri" w:eastAsia="Calibri" w:hAnsi="Calibri"/>
          <w:b/>
          <w:bCs/>
          <w:color w:val="0B2545"/>
          <w:sz w:val="24"/>
          <w:szCs w:val="24"/>
        </w:rPr>
        <w:t xml:space="preserve">Transaction Overview</w:t>
      </w:r>
      <w:r>
        <w:rPr>
          <w:rFonts w:ascii="Calibri" w:cs="Calibri" w:eastAsia="Calibri" w:hAnsi="Calibri"/>
          <w:color w:val="555555"/>
          <w:sz w:val="24"/>
          <w:szCs w:val="24"/>
        </w:rPr>
        <w:t xml:space="preserve">	6</w:t>
      </w:r>
    </w:p>
    <w:p>
      <w:pPr>
        <w:tabs>
          <w:tab w:val="right" w:pos="9360"/>
        </w:tabs>
        <w:spacing w:after="100" w:before="100"/>
      </w:pPr>
      <w:r>
        <w:rPr>
          <w:rFonts w:ascii="Calibri" w:cs="Calibri" w:eastAsia="Calibri" w:hAnsi="Calibri"/>
          <w:b/>
          <w:bCs/>
          <w:color w:val="1F4E79"/>
          <w:sz w:val="24"/>
          <w:szCs w:val="24"/>
        </w:rPr>
        <w:t xml:space="preserve">3.  </w:t>
      </w:r>
      <w:r>
        <w:rPr>
          <w:rFonts w:ascii="Calibri" w:cs="Calibri" w:eastAsia="Calibri" w:hAnsi="Calibri"/>
          <w:b/>
          <w:bCs/>
          <w:color w:val="0B2545"/>
          <w:sz w:val="24"/>
          <w:szCs w:val="24"/>
        </w:rPr>
        <w:t xml:space="preserve">Company Overview</w:t>
      </w:r>
      <w:r>
        <w:rPr>
          <w:rFonts w:ascii="Calibri" w:cs="Calibri" w:eastAsia="Calibri" w:hAnsi="Calibri"/>
          <w:color w:val="555555"/>
          <w:sz w:val="24"/>
          <w:szCs w:val="24"/>
        </w:rPr>
        <w:t xml:space="preserve">	7</w:t>
      </w:r>
    </w:p>
    <w:p>
      <w:pPr>
        <w:tabs>
          <w:tab w:val="right" w:pos="9360"/>
        </w:tabs>
        <w:spacing w:after="100" w:before="100"/>
      </w:pPr>
      <w:r>
        <w:rPr>
          <w:rFonts w:ascii="Calibri" w:cs="Calibri" w:eastAsia="Calibri" w:hAnsi="Calibri"/>
          <w:b/>
          <w:bCs/>
          <w:color w:val="1F4E79"/>
          <w:sz w:val="24"/>
          <w:szCs w:val="24"/>
        </w:rPr>
        <w:t xml:space="preserve">4.  </w:t>
      </w:r>
      <w:r>
        <w:rPr>
          <w:rFonts w:ascii="Calibri" w:cs="Calibri" w:eastAsia="Calibri" w:hAnsi="Calibri"/>
          <w:b/>
          <w:bCs/>
          <w:color w:val="0B2545"/>
          <w:sz w:val="24"/>
          <w:szCs w:val="24"/>
        </w:rPr>
        <w:t xml:space="preserve">Product &amp; Platform</w:t>
      </w:r>
      <w:r>
        <w:rPr>
          <w:rFonts w:ascii="Calibri" w:cs="Calibri" w:eastAsia="Calibri" w:hAnsi="Calibri"/>
          <w:color w:val="555555"/>
          <w:sz w:val="24"/>
          <w:szCs w:val="24"/>
        </w:rPr>
        <w:t xml:space="preserve">	9</w:t>
      </w:r>
    </w:p>
    <w:p>
      <w:pPr>
        <w:tabs>
          <w:tab w:val="right" w:pos="9360"/>
        </w:tabs>
        <w:spacing w:after="100" w:before="100"/>
      </w:pPr>
      <w:r>
        <w:rPr>
          <w:rFonts w:ascii="Calibri" w:cs="Calibri" w:eastAsia="Calibri" w:hAnsi="Calibri"/>
          <w:b/>
          <w:bCs/>
          <w:color w:val="1F4E79"/>
          <w:sz w:val="24"/>
          <w:szCs w:val="24"/>
        </w:rPr>
        <w:t xml:space="preserve">5.  </w:t>
      </w:r>
      <w:r>
        <w:rPr>
          <w:rFonts w:ascii="Calibri" w:cs="Calibri" w:eastAsia="Calibri" w:hAnsi="Calibri"/>
          <w:b/>
          <w:bCs/>
          <w:color w:val="0B2545"/>
          <w:sz w:val="24"/>
          <w:szCs w:val="24"/>
        </w:rPr>
        <w:t xml:space="preserve">Market &amp; Competitive Landscape</w:t>
      </w:r>
      <w:r>
        <w:rPr>
          <w:rFonts w:ascii="Calibri" w:cs="Calibri" w:eastAsia="Calibri" w:hAnsi="Calibri"/>
          <w:color w:val="555555"/>
          <w:sz w:val="24"/>
          <w:szCs w:val="24"/>
        </w:rPr>
        <w:t xml:space="preserve">	11</w:t>
      </w:r>
    </w:p>
    <w:p>
      <w:pPr>
        <w:tabs>
          <w:tab w:val="right" w:pos="9360"/>
        </w:tabs>
        <w:spacing w:after="100" w:before="100"/>
      </w:pPr>
      <w:r>
        <w:rPr>
          <w:rFonts w:ascii="Calibri" w:cs="Calibri" w:eastAsia="Calibri" w:hAnsi="Calibri"/>
          <w:b/>
          <w:bCs/>
          <w:color w:val="1F4E79"/>
          <w:sz w:val="24"/>
          <w:szCs w:val="24"/>
        </w:rPr>
        <w:t xml:space="preserve">6.  </w:t>
      </w:r>
      <w:r>
        <w:rPr>
          <w:rFonts w:ascii="Calibri" w:cs="Calibri" w:eastAsia="Calibri" w:hAnsi="Calibri"/>
          <w:b/>
          <w:bCs/>
          <w:color w:val="0B2545"/>
          <w:sz w:val="24"/>
          <w:szCs w:val="24"/>
        </w:rPr>
        <w:t xml:space="preserve">Customer Base &amp; Go-to-Market</w:t>
      </w:r>
      <w:r>
        <w:rPr>
          <w:rFonts w:ascii="Calibri" w:cs="Calibri" w:eastAsia="Calibri" w:hAnsi="Calibri"/>
          <w:color w:val="555555"/>
          <w:sz w:val="24"/>
          <w:szCs w:val="24"/>
        </w:rPr>
        <w:t xml:space="preserve">	13</w:t>
      </w:r>
    </w:p>
    <w:p>
      <w:pPr>
        <w:tabs>
          <w:tab w:val="right" w:pos="9360"/>
        </w:tabs>
        <w:spacing w:after="100" w:before="100"/>
      </w:pPr>
      <w:r>
        <w:rPr>
          <w:rFonts w:ascii="Calibri" w:cs="Calibri" w:eastAsia="Calibri" w:hAnsi="Calibri"/>
          <w:b/>
          <w:bCs/>
          <w:color w:val="1F4E79"/>
          <w:sz w:val="24"/>
          <w:szCs w:val="24"/>
        </w:rPr>
        <w:t xml:space="preserve">7.  </w:t>
      </w:r>
      <w:r>
        <w:rPr>
          <w:rFonts w:ascii="Calibri" w:cs="Calibri" w:eastAsia="Calibri" w:hAnsi="Calibri"/>
          <w:b/>
          <w:bCs/>
          <w:color w:val="0B2545"/>
          <w:sz w:val="24"/>
          <w:szCs w:val="24"/>
        </w:rPr>
        <w:t xml:space="preserve">SaaS Metrics &amp; Cohort Analysis</w:t>
      </w:r>
      <w:r>
        <w:rPr>
          <w:rFonts w:ascii="Calibri" w:cs="Calibri" w:eastAsia="Calibri" w:hAnsi="Calibri"/>
          <w:color w:val="555555"/>
          <w:sz w:val="24"/>
          <w:szCs w:val="24"/>
        </w:rPr>
        <w:t xml:space="preserve">	16</w:t>
      </w:r>
    </w:p>
    <w:p>
      <w:pPr>
        <w:tabs>
          <w:tab w:val="right" w:pos="9360"/>
        </w:tabs>
        <w:spacing w:after="100" w:before="100"/>
      </w:pPr>
      <w:r>
        <w:rPr>
          <w:rFonts w:ascii="Calibri" w:cs="Calibri" w:eastAsia="Calibri" w:hAnsi="Calibri"/>
          <w:b/>
          <w:bCs/>
          <w:color w:val="1F4E79"/>
          <w:sz w:val="24"/>
          <w:szCs w:val="24"/>
        </w:rPr>
        <w:t xml:space="preserve">8.  </w:t>
      </w:r>
      <w:r>
        <w:rPr>
          <w:rFonts w:ascii="Calibri" w:cs="Calibri" w:eastAsia="Calibri" w:hAnsi="Calibri"/>
          <w:b/>
          <w:bCs/>
          <w:color w:val="0B2545"/>
          <w:sz w:val="24"/>
          <w:szCs w:val="24"/>
        </w:rPr>
        <w:t xml:space="preserve">Historical Financial Performance</w:t>
      </w:r>
      <w:r>
        <w:rPr>
          <w:rFonts w:ascii="Calibri" w:cs="Calibri" w:eastAsia="Calibri" w:hAnsi="Calibri"/>
          <w:color w:val="555555"/>
          <w:sz w:val="24"/>
          <w:szCs w:val="24"/>
        </w:rPr>
        <w:t xml:space="preserve">	19</w:t>
      </w:r>
    </w:p>
    <w:p>
      <w:pPr>
        <w:tabs>
          <w:tab w:val="right" w:pos="9360"/>
        </w:tabs>
        <w:spacing w:after="100" w:before="100"/>
      </w:pPr>
      <w:r>
        <w:rPr>
          <w:rFonts w:ascii="Calibri" w:cs="Calibri" w:eastAsia="Calibri" w:hAnsi="Calibri"/>
          <w:b/>
          <w:bCs/>
          <w:color w:val="1F4E79"/>
          <w:sz w:val="24"/>
          <w:szCs w:val="24"/>
        </w:rPr>
        <w:t xml:space="preserve">9.  </w:t>
      </w:r>
      <w:r>
        <w:rPr>
          <w:rFonts w:ascii="Calibri" w:cs="Calibri" w:eastAsia="Calibri" w:hAnsi="Calibri"/>
          <w:b/>
          <w:bCs/>
          <w:color w:val="0B2545"/>
          <w:sz w:val="24"/>
          <w:szCs w:val="24"/>
        </w:rPr>
        <w:t xml:space="preserve">Financial Projections</w:t>
      </w:r>
      <w:r>
        <w:rPr>
          <w:rFonts w:ascii="Calibri" w:cs="Calibri" w:eastAsia="Calibri" w:hAnsi="Calibri"/>
          <w:color w:val="555555"/>
          <w:sz w:val="24"/>
          <w:szCs w:val="24"/>
        </w:rPr>
        <w:t xml:space="preserve">	23</w:t>
      </w:r>
    </w:p>
    <w:p>
      <w:pPr>
        <w:tabs>
          <w:tab w:val="right" w:pos="9360"/>
        </w:tabs>
        <w:spacing w:after="100" w:before="100"/>
      </w:pPr>
      <w:r>
        <w:rPr>
          <w:rFonts w:ascii="Calibri" w:cs="Calibri" w:eastAsia="Calibri" w:hAnsi="Calibri"/>
          <w:b/>
          <w:bCs/>
          <w:color w:val="1F4E79"/>
          <w:sz w:val="24"/>
          <w:szCs w:val="24"/>
        </w:rPr>
        <w:t xml:space="preserve">10.  </w:t>
      </w:r>
      <w:r>
        <w:rPr>
          <w:rFonts w:ascii="Calibri" w:cs="Calibri" w:eastAsia="Calibri" w:hAnsi="Calibri"/>
          <w:b/>
          <w:bCs/>
          <w:color w:val="0B2545"/>
          <w:sz w:val="24"/>
          <w:szCs w:val="24"/>
        </w:rPr>
        <w:t xml:space="preserve">Management Team</w:t>
      </w:r>
      <w:r>
        <w:rPr>
          <w:rFonts w:ascii="Calibri" w:cs="Calibri" w:eastAsia="Calibri" w:hAnsi="Calibri"/>
          <w:color w:val="555555"/>
          <w:sz w:val="24"/>
          <w:szCs w:val="24"/>
        </w:rPr>
        <w:t xml:space="preserve">	26</w:t>
      </w:r>
    </w:p>
    <w:p>
      <w:pPr>
        <w:tabs>
          <w:tab w:val="right" w:pos="9360"/>
        </w:tabs>
        <w:spacing w:after="100" w:before="100"/>
      </w:pPr>
      <w:r>
        <w:rPr>
          <w:rFonts w:ascii="Calibri" w:cs="Calibri" w:eastAsia="Calibri" w:hAnsi="Calibri"/>
          <w:b/>
          <w:bCs/>
          <w:color w:val="1F4E79"/>
          <w:sz w:val="24"/>
          <w:szCs w:val="24"/>
        </w:rPr>
        <w:t xml:space="preserve">11.  </w:t>
      </w:r>
      <w:r>
        <w:rPr>
          <w:rFonts w:ascii="Calibri" w:cs="Calibri" w:eastAsia="Calibri" w:hAnsi="Calibri"/>
          <w:b/>
          <w:bCs/>
          <w:color w:val="0B2545"/>
          <w:sz w:val="24"/>
          <w:szCs w:val="24"/>
        </w:rPr>
        <w:t xml:space="preserve">Growth Strategy &amp; Investment Thesis</w:t>
      </w:r>
      <w:r>
        <w:rPr>
          <w:rFonts w:ascii="Calibri" w:cs="Calibri" w:eastAsia="Calibri" w:hAnsi="Calibri"/>
          <w:color w:val="555555"/>
          <w:sz w:val="24"/>
          <w:szCs w:val="24"/>
        </w:rPr>
        <w:t xml:space="preserve">	27</w:t>
      </w:r>
    </w:p>
    <w:p>
      <w:pPr>
        <w:tabs>
          <w:tab w:val="right" w:pos="9360"/>
        </w:tabs>
        <w:spacing w:after="100" w:before="100"/>
      </w:pPr>
      <w:r>
        <w:rPr>
          <w:rFonts w:ascii="Calibri" w:cs="Calibri" w:eastAsia="Calibri" w:hAnsi="Calibri"/>
          <w:b/>
          <w:bCs/>
          <w:color w:val="1F4E79"/>
          <w:sz w:val="24"/>
          <w:szCs w:val="24"/>
        </w:rPr>
        <w:t xml:space="preserve">12.  </w:t>
      </w:r>
      <w:r>
        <w:rPr>
          <w:rFonts w:ascii="Calibri" w:cs="Calibri" w:eastAsia="Calibri" w:hAnsi="Calibri"/>
          <w:b/>
          <w:bCs/>
          <w:color w:val="0B2545"/>
          <w:sz w:val="24"/>
          <w:szCs w:val="24"/>
        </w:rPr>
        <w:t xml:space="preserve">Key Risks &amp; Mitigants</w:t>
      </w:r>
      <w:r>
        <w:rPr>
          <w:rFonts w:ascii="Calibri" w:cs="Calibri" w:eastAsia="Calibri" w:hAnsi="Calibri"/>
          <w:color w:val="555555"/>
          <w:sz w:val="24"/>
          <w:szCs w:val="24"/>
        </w:rPr>
        <w:t xml:space="preserve">	29</w:t>
      </w:r>
    </w:p>
    <w:p>
      <w:pPr>
        <w:tabs>
          <w:tab w:val="right" w:pos="9360"/>
        </w:tabs>
        <w:spacing w:after="100" w:before="100"/>
      </w:pPr>
      <w:r>
        <w:rPr>
          <w:rFonts w:ascii="Calibri" w:cs="Calibri" w:eastAsia="Calibri" w:hAnsi="Calibri"/>
          <w:b/>
          <w:bCs/>
          <w:color w:val="1F4E79"/>
          <w:sz w:val="24"/>
          <w:szCs w:val="24"/>
        </w:rPr>
        <w:t xml:space="preserve">13.  </w:t>
      </w:r>
      <w:r>
        <w:rPr>
          <w:rFonts w:ascii="Calibri" w:cs="Calibri" w:eastAsia="Calibri" w:hAnsi="Calibri"/>
          <w:b/>
          <w:bCs/>
          <w:color w:val="0B2545"/>
          <w:sz w:val="24"/>
          <w:szCs w:val="24"/>
        </w:rPr>
        <w:t xml:space="preserve">Appendices</w:t>
      </w:r>
      <w:r>
        <w:rPr>
          <w:rFonts w:ascii="Calibri" w:cs="Calibri" w:eastAsia="Calibri" w:hAnsi="Calibri"/>
          <w:color w:val="555555"/>
          <w:sz w:val="24"/>
          <w:szCs w:val="24"/>
        </w:rPr>
        <w:t xml:space="preserve">	31</w:t>
      </w:r>
    </w:p>
    <w:p>
      <w:pPr>
        <w:pStyle w:val="Heading1"/>
        <w:pageBreakBefore/>
        <w:pBdr>
          <w:bottom w:val="single" w:color="1F4E79" w:sz="8" w:space="4"/>
        </w:pBdr>
        <w:spacing w:after="180" w:before="240"/>
      </w:pPr>
      <w:r>
        <w:rPr>
          <w:rFonts w:ascii="Calibri" w:cs="Calibri" w:eastAsia="Calibri" w:hAnsi="Calibri"/>
          <w:b/>
          <w:bCs/>
          <w:color w:val="0B2545"/>
          <w:sz w:val="36"/>
          <w:szCs w:val="36"/>
        </w:rPr>
        <w:t xml:space="preserve">1. Executive Summary</w:t>
      </w:r>
    </w:p>
    <w:p>
      <w:pPr>
        <w:pStyle w:val="Heading3"/>
        <w:spacing w:after="80" w:before="160"/>
      </w:pPr>
      <w:r>
        <w:rPr>
          <w:rFonts w:ascii="Calibri" w:cs="Calibri" w:eastAsia="Calibri" w:hAnsi="Calibri"/>
          <w:b/>
          <w:bCs/>
          <w:color w:val="1A1A1A"/>
          <w:sz w:val="24"/>
          <w:szCs w:val="24"/>
        </w:rPr>
        <w:t xml:space="preserve">1.1 Company Snapshot</w:t>
      </w:r>
    </w:p>
    <w:p>
      <w:pPr>
        <w:spacing w:after="60" w:before="60"/>
        <w:jc w:val="left"/>
      </w:pPr>
      <w:r>
        <w:rPr>
          <w:rFonts w:ascii="Calibri" w:cs="Calibri" w:eastAsia="Calibri" w:hAnsi="Calibri"/>
          <w:b w:val="false"/>
          <w:bCs w:val="false"/>
          <w:i w:val="false"/>
          <w:iCs w:val="false"/>
          <w:color w:val="1A1A1A"/>
          <w:sz w:val="22"/>
          <w:szCs w:val="22"/>
        </w:rPr>
        <w:t xml:space="preserve">ZenithOps Inc. ("ZenithOps" or the "Company") is a vertical-agnostic workflow automation platform that helps mid-market operations teams orchestrate cross-functional processes across the systems they already use. Founded in 2019 and headquartered in San Francisco, the Company serves 762 enterprise customers across 14 countries, with end-of-period Annual Recurring Revenue (ARR) of $42.4 million as of Q4 FY2025.</w:t>
      </w:r>
    </w:p>
    <w:p>
      <w:pPr>
        <w:spacing w:after="60" w:before="60"/>
        <w:jc w:val="left"/>
      </w:pPr>
      <w:r>
        <w:rPr>
          <w:rFonts w:ascii="Calibri" w:cs="Calibri" w:eastAsia="Calibri" w:hAnsi="Calibri"/>
          <w:b w:val="false"/>
          <w:bCs w:val="false"/>
          <w:i w:val="false"/>
          <w:iCs w:val="false"/>
          <w:color w:val="1A1A1A"/>
          <w:sz w:val="22"/>
          <w:szCs w:val="22"/>
        </w:rPr>
        <w:t xml:space="preserve">The platform combines a low-code workflow builder, a library of 180+ pre-built integrations, and an AI-assisted process discovery layer that surfaces automation candidates from system telemetry. Customers typically deploy ZenithOps to replace a combination of legacy iPaaS tooling, internal scripts, and manual handoffs in functions including procurement, customer onboarding, claims processing, and finance close.</w:t>
      </w:r>
    </w:p>
    <w:p>
      <w:pPr>
        <w:pStyle w:val="Heading3"/>
        <w:spacing w:after="80" w:before="160"/>
      </w:pPr>
      <w:r>
        <w:rPr>
          <w:rFonts w:ascii="Calibri" w:cs="Calibri" w:eastAsia="Calibri" w:hAnsi="Calibri"/>
          <w:b/>
          <w:bCs/>
          <w:color w:val="1A1A1A"/>
          <w:sz w:val="24"/>
          <w:szCs w:val="24"/>
        </w:rPr>
        <w:t xml:space="preserve">1.2 Investment Highlights</w:t>
      </w:r>
    </w:p>
    <w:p>
      <w:pPr>
        <w:pStyle w:val="ListParagraph"/>
        <w:numPr>
          <w:ilvl w:val="0"/>
          <w:numId w:val="2"/>
        </w:numPr>
        <w:spacing w:after="40" w:before="40"/>
      </w:pPr>
      <w:r>
        <w:rPr>
          <w:rFonts w:ascii="Calibri" w:cs="Calibri" w:eastAsia="Calibri" w:hAnsi="Calibri"/>
          <w:color w:val="1A1A1A"/>
          <w:sz w:val="22"/>
          <w:szCs w:val="22"/>
        </w:rPr>
        <w:t xml:space="preserve">Capital-efficient growth at scale. Total revenue has grown from $1.46M in FY2020 to $21.72M in FY2024 (a 96% CAGR over four years), and is forecast to reach $31.04M in FY2025E and $42.70M in FY2026P. The Company has raised $14M in total primary capital and turned EBITDA-positive in FY2024.</w:t>
      </w:r>
    </w:p>
    <w:p>
      <w:pPr>
        <w:pStyle w:val="ListParagraph"/>
        <w:numPr>
          <w:ilvl w:val="0"/>
          <w:numId w:val="2"/>
        </w:numPr>
        <w:spacing w:after="40" w:before="40"/>
      </w:pPr>
      <w:r>
        <w:rPr>
          <w:rFonts w:ascii="Calibri" w:cs="Calibri" w:eastAsia="Calibri" w:hAnsi="Calibri"/>
          <w:color w:val="1A1A1A"/>
          <w:sz w:val="22"/>
          <w:szCs w:val="22"/>
        </w:rPr>
        <w:t xml:space="preserve">Best-in-class retention metrics. Net Dollar Retention has expanded from 118% in Q1 FY2023 to 131% in Q4 FY2024, with Gross Dollar Retention of 95% in the most recent four quarters. The FY2020 cohort retains 146% of original ARR five years after acquisition.</w:t>
      </w:r>
    </w:p>
    <w:p>
      <w:pPr>
        <w:pStyle w:val="ListParagraph"/>
        <w:numPr>
          <w:ilvl w:val="0"/>
          <w:numId w:val="2"/>
        </w:numPr>
        <w:spacing w:after="40" w:before="40"/>
      </w:pPr>
      <w:r>
        <w:rPr>
          <w:rFonts w:ascii="Calibri" w:cs="Calibri" w:eastAsia="Calibri" w:hAnsi="Calibri"/>
          <w:color w:val="1A1A1A"/>
          <w:sz w:val="22"/>
          <w:szCs w:val="22"/>
        </w:rPr>
        <w:t xml:space="preserve">Improving unit economics. CAC payback has compressed from 22 months in Q1 FY2022 to 12 months in Q4 FY2025. Magic Number has averaged above 1.20x for eight consecutive quarters, indicating efficient sales reinvestment.</w:t>
      </w:r>
    </w:p>
    <w:p>
      <w:pPr>
        <w:pStyle w:val="ListParagraph"/>
        <w:numPr>
          <w:ilvl w:val="0"/>
          <w:numId w:val="2"/>
        </w:numPr>
        <w:spacing w:after="40" w:before="40"/>
      </w:pPr>
      <w:r>
        <w:rPr>
          <w:rFonts w:ascii="Calibri" w:cs="Calibri" w:eastAsia="Calibri" w:hAnsi="Calibri"/>
          <w:color w:val="1A1A1A"/>
          <w:sz w:val="22"/>
          <w:szCs w:val="22"/>
        </w:rPr>
        <w:t xml:space="preserve">Diversified customer base. 762 logos across financial services (28% of ARR), healthcare (16%), technology (14%), manufacturing (12%), and other sectors. The largest customer represents 9.3% of ARR; the top 10 represent 47.5%. International revenue accounts for 38% of FY2024 ARR.</w:t>
      </w:r>
    </w:p>
    <w:p>
      <w:pPr>
        <w:pStyle w:val="ListParagraph"/>
        <w:numPr>
          <w:ilvl w:val="0"/>
          <w:numId w:val="2"/>
        </w:numPr>
        <w:spacing w:after="40" w:before="40"/>
      </w:pPr>
      <w:r>
        <w:rPr>
          <w:rFonts w:ascii="Calibri" w:cs="Calibri" w:eastAsia="Calibri" w:hAnsi="Calibri"/>
          <w:color w:val="1A1A1A"/>
          <w:sz w:val="22"/>
          <w:szCs w:val="22"/>
        </w:rPr>
        <w:t xml:space="preserve">Inflection in profitability. EBITDA margin has expanded from (35.6%) in FY2020 to 6.1% in FY2024 and 13.2% in FY2025E. Management projects 25.3% EBITDA margin in FY2027P, placing the Company comfortably above the Rule of 40 threshold (most recent quarterly Rule of 40 reading: 65%).</w:t>
      </w:r>
    </w:p>
    <w:p>
      <w:pPr>
        <w:pStyle w:val="ListParagraph"/>
        <w:numPr>
          <w:ilvl w:val="0"/>
          <w:numId w:val="2"/>
        </w:numPr>
        <w:spacing w:after="40" w:before="40"/>
      </w:pPr>
      <w:r>
        <w:rPr>
          <w:rFonts w:ascii="Calibri" w:cs="Calibri" w:eastAsia="Calibri" w:hAnsi="Calibri"/>
          <w:color w:val="1A1A1A"/>
          <w:sz w:val="22"/>
          <w:szCs w:val="22"/>
        </w:rPr>
        <w:t xml:space="preserve">Scalable platform architecture. The platform processes over 480 million workflow steps per month with 99.97% trailing-twelve-month uptime. Hosting &amp; infrastructure costs scale at approximately 40% the rate of revenue, providing meaningful gross-margin operating leverage as the Company grows.</w:t>
      </w:r>
    </w:p>
    <w:p>
      <w:pPr>
        <w:pStyle w:val="Heading3"/>
        <w:spacing w:after="80" w:before="160"/>
      </w:pPr>
      <w:r>
        <w:rPr>
          <w:rFonts w:ascii="Calibri" w:cs="Calibri" w:eastAsia="Calibri" w:hAnsi="Calibri"/>
          <w:b/>
          <w:bCs/>
          <w:color w:val="1A1A1A"/>
          <w:sz w:val="24"/>
          <w:szCs w:val="24"/>
        </w:rPr>
        <w:t xml:space="preserve">1.3 Financial Summary</w:t>
      </w:r>
    </w:p>
    <w:p>
      <w:pPr>
        <w:spacing w:after="60" w:before="60"/>
        <w:jc w:val="left"/>
      </w:pPr>
      <w:r>
        <w:rPr>
          <w:rFonts w:ascii="Calibri" w:cs="Calibri" w:eastAsia="Calibri" w:hAnsi="Calibri"/>
          <w:b w:val="false"/>
          <w:bCs w:val="false"/>
          <w:i/>
          <w:iCs/>
          <w:color w:val="555555"/>
          <w:sz w:val="22"/>
          <w:szCs w:val="22"/>
        </w:rPr>
        <w:t xml:space="preserve">Figures in USD thousands unless stated. Fiscal year aligns with the calendar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70"/>
        <w:gridCol w:w="870"/>
        <w:gridCol w:w="870"/>
        <w:gridCol w:w="870"/>
        <w:gridCol w:w="870"/>
        <w:gridCol w:w="870"/>
        <w:gridCol w:w="870"/>
        <w:gridCol w:w="870"/>
      </w:tblGrid>
      <w:tr>
        <w:trPr>
          <w:tblHeader/>
        </w:trPr>
        <w:tc>
          <w:tcPr>
            <w:tcW w:type="dxa" w:w="24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Metric ($000s)</w:t>
            </w:r>
          </w:p>
        </w:tc>
        <w:tc>
          <w:tcPr>
            <w:tcW w:type="dxa" w:w="87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FY20A</w:t>
            </w:r>
          </w:p>
        </w:tc>
        <w:tc>
          <w:tcPr>
            <w:tcW w:type="dxa" w:w="87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FY21A</w:t>
            </w:r>
          </w:p>
        </w:tc>
        <w:tc>
          <w:tcPr>
            <w:tcW w:type="dxa" w:w="87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FY22A</w:t>
            </w:r>
          </w:p>
        </w:tc>
        <w:tc>
          <w:tcPr>
            <w:tcW w:type="dxa" w:w="87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FY23A</w:t>
            </w:r>
          </w:p>
        </w:tc>
        <w:tc>
          <w:tcPr>
            <w:tcW w:type="dxa" w:w="87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FY24A</w:t>
            </w:r>
          </w:p>
        </w:tc>
        <w:tc>
          <w:tcPr>
            <w:tcW w:type="dxa" w:w="87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FY25E</w:t>
            </w:r>
          </w:p>
        </w:tc>
        <w:tc>
          <w:tcPr>
            <w:tcW w:type="dxa" w:w="87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FY26P</w:t>
            </w:r>
          </w:p>
        </w:tc>
        <w:tc>
          <w:tcPr>
            <w:tcW w:type="dxa" w:w="87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FY27P</w:t>
            </w:r>
          </w:p>
        </w:tc>
      </w:tr>
      <w:tr>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Total Revenue</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1,460</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3,085</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6,560</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12,600</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21,720</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31,040</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42,700</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57,240</w:t>
            </w:r>
          </w:p>
        </w:tc>
      </w:tr>
      <w:tr>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YoY Growth %</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111.3%</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112.6%</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92.1%</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72.4%</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42.9%</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37.6%</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34.1%</w:t>
            </w:r>
          </w:p>
        </w:tc>
      </w:tr>
      <w:tr>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Gross Profit</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1,020</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2,243</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4,978</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9,726</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16,980</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24,500</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34,050</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46,160</w:t>
            </w:r>
          </w:p>
        </w:tc>
      </w:tr>
      <w:tr>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Gross Margin %</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69.9%</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72.7%</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75.9%</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77.2%</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78.2%</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78.9%</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79.7%</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80.6%</w:t>
            </w:r>
          </w:p>
        </w:tc>
      </w:tr>
      <w:tr>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EBITDA</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(520)</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(715)</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(774)</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(354)</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1,320</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4,100</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8,310</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14,460</w:t>
            </w:r>
          </w:p>
        </w:tc>
      </w:tr>
      <w:tr>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EBITDA Margin %</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(35.6%)</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(23.2%)</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(11.8%)</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6.1%</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13.2%</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19.5%</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25.3%</w:t>
            </w:r>
          </w:p>
        </w:tc>
      </w:tr>
      <w:tr>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bCs/>
                <w:i w:val="false"/>
                <w:iCs w:val="false"/>
                <w:color w:val="1A1A1A"/>
                <w:sz w:val="20"/>
                <w:szCs w:val="20"/>
              </w:rPr>
              <w:t xml:space="preserve">Net Income</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(612)</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(885)</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(1,064)</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(842)</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408</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2,370</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5,396</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9,891</w:t>
            </w:r>
          </w:p>
        </w:tc>
      </w:tr>
      <w:tr>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End-of-period ARR</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8,800</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19,400</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31,800</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42,400</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r>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Logo count (EoP)</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234</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408</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592</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762</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r>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Net Dollar Retention</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127%</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131%</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128%</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87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bl>
    <w:p>
      <w:pPr>
        <w:pStyle w:val="Heading3"/>
        <w:spacing w:after="80" w:before="160"/>
      </w:pPr>
      <w:r>
        <w:rPr>
          <w:rFonts w:ascii="Calibri" w:cs="Calibri" w:eastAsia="Calibri" w:hAnsi="Calibri"/>
          <w:b/>
          <w:bCs/>
          <w:color w:val="1A1A1A"/>
          <w:sz w:val="24"/>
          <w:szCs w:val="24"/>
        </w:rPr>
        <w:t xml:space="preserve">1.4 Transaction Summary</w:t>
      </w:r>
    </w:p>
    <w:p>
      <w:pPr>
        <w:spacing w:after="60" w:before="60"/>
        <w:jc w:val="left"/>
      </w:pPr>
      <w:r>
        <w:rPr>
          <w:rFonts w:ascii="Calibri" w:cs="Calibri" w:eastAsia="Calibri" w:hAnsi="Calibri"/>
          <w:b w:val="false"/>
          <w:bCs w:val="false"/>
          <w:i w:val="false"/>
          <w:iCs w:val="false"/>
          <w:color w:val="1A1A1A"/>
          <w:sz w:val="22"/>
          <w:szCs w:val="22"/>
        </w:rPr>
        <w:t xml:space="preserve">The shareholders of ZenithOps Inc. have engaged Kautilya Private Equity to manage a structured sale process targeting strategic acquirers, growth equity investors, and selected later-stage venture firms. Shareholders are open to majority sale, complete acquisition, or significant minority investment. Indicative timelines target non-binding indications of interest by April 30, 2026 and signing by August 31, 2026.</w:t>
      </w:r>
    </w:p>
    <w:p>
      <w:pPr>
        <w:pStyle w:val="Heading1"/>
        <w:pageBreakBefore/>
        <w:pBdr>
          <w:bottom w:val="single" w:color="1F4E79" w:sz="8" w:space="4"/>
        </w:pBdr>
        <w:spacing w:after="180" w:before="240"/>
      </w:pPr>
      <w:r>
        <w:rPr>
          <w:rFonts w:ascii="Calibri" w:cs="Calibri" w:eastAsia="Calibri" w:hAnsi="Calibri"/>
          <w:b/>
          <w:bCs/>
          <w:color w:val="0B2545"/>
          <w:sz w:val="36"/>
          <w:szCs w:val="36"/>
        </w:rPr>
        <w:t xml:space="preserve">2. Transaction Overview</w:t>
      </w:r>
    </w:p>
    <w:p>
      <w:pPr>
        <w:pStyle w:val="Heading3"/>
        <w:spacing w:after="80" w:before="160"/>
      </w:pPr>
      <w:r>
        <w:rPr>
          <w:rFonts w:ascii="Calibri" w:cs="Calibri" w:eastAsia="Calibri" w:hAnsi="Calibri"/>
          <w:b/>
          <w:bCs/>
          <w:color w:val="1A1A1A"/>
          <w:sz w:val="24"/>
          <w:szCs w:val="24"/>
        </w:rPr>
        <w:t xml:space="preserve">2.1 Process Description</w:t>
      </w:r>
    </w:p>
    <w:p>
      <w:pPr>
        <w:spacing w:after="60" w:before="60"/>
        <w:jc w:val="left"/>
      </w:pPr>
      <w:r>
        <w:rPr>
          <w:rFonts w:ascii="Calibri" w:cs="Calibri" w:eastAsia="Calibri" w:hAnsi="Calibri"/>
          <w:b w:val="false"/>
          <w:bCs w:val="false"/>
          <w:i w:val="false"/>
          <w:iCs w:val="false"/>
          <w:color w:val="1A1A1A"/>
          <w:sz w:val="22"/>
          <w:szCs w:val="22"/>
        </w:rPr>
        <w:t xml:space="preserve">Kautilya Private Equity has been mandated by the Board and major shareholders of ZenithOps Inc. to conduct a structured sell-side process. The shareholders are seeking a partner who can: (i) provide capital to accelerate enterprise go-to-market and international expansion; (ii) bring operating expertise in scaling vertical SaaS businesses past $100M ARR; and (iii) support eventual strategic exit through a public offering or strategic acquisition within four to six years.</w:t>
      </w:r>
    </w:p>
    <w:p>
      <w:pPr>
        <w:spacing w:after="60" w:before="60"/>
        <w:jc w:val="left"/>
      </w:pPr>
      <w:r>
        <w:rPr>
          <w:rFonts w:ascii="Calibri" w:cs="Calibri" w:eastAsia="Calibri" w:hAnsi="Calibri"/>
          <w:b w:val="false"/>
          <w:bCs w:val="false"/>
          <w:i w:val="false"/>
          <w:iCs w:val="false"/>
          <w:color w:val="1A1A1A"/>
          <w:sz w:val="22"/>
          <w:szCs w:val="22"/>
        </w:rPr>
        <w:t xml:space="preserve">The process is being conducted as a confidential limited auction with a curated set of approximately 28 prospective counterparties: 9 strategic acquirers (incumbent iPaaS, ERP, and CRM vendors), 14 financial sponsors with vertical SaaS portfolios, and 5 large later-stage venture firms. Recipients are requested to indicate preliminary interest within 30 days of receipt.</w:t>
      </w:r>
    </w:p>
    <w:p>
      <w:pPr>
        <w:pStyle w:val="Heading3"/>
        <w:spacing w:after="80" w:before="160"/>
      </w:pPr>
      <w:r>
        <w:rPr>
          <w:rFonts w:ascii="Calibri" w:cs="Calibri" w:eastAsia="Calibri" w:hAnsi="Calibri"/>
          <w:b/>
          <w:bCs/>
          <w:color w:val="1A1A1A"/>
          <w:sz w:val="24"/>
          <w:szCs w:val="24"/>
        </w:rPr>
        <w:t xml:space="preserve">2.2 Transaction Structure</w:t>
      </w:r>
    </w:p>
    <w:p>
      <w:pPr>
        <w:pStyle w:val="ListParagraph"/>
        <w:numPr>
          <w:ilvl w:val="0"/>
          <w:numId w:val="2"/>
        </w:numPr>
        <w:spacing w:after="40" w:before="40"/>
      </w:pPr>
      <w:r>
        <w:rPr>
          <w:rFonts w:ascii="Calibri" w:cs="Calibri" w:eastAsia="Calibri" w:hAnsi="Calibri"/>
          <w:color w:val="1A1A1A"/>
          <w:sz w:val="22"/>
          <w:szCs w:val="22"/>
        </w:rPr>
        <w:t xml:space="preserve">Majority recapitalisation. New investor acquires 51%–80% of equity; founders and existing investors retain a meaningful continuing stake. Founders sign multi-year retention agreements.</w:t>
      </w:r>
    </w:p>
    <w:p>
      <w:pPr>
        <w:pStyle w:val="ListParagraph"/>
        <w:numPr>
          <w:ilvl w:val="0"/>
          <w:numId w:val="2"/>
        </w:numPr>
        <w:spacing w:after="40" w:before="40"/>
      </w:pPr>
      <w:r>
        <w:rPr>
          <w:rFonts w:ascii="Calibri" w:cs="Calibri" w:eastAsia="Calibri" w:hAnsi="Calibri"/>
          <w:color w:val="1A1A1A"/>
          <w:sz w:val="22"/>
          <w:szCs w:val="22"/>
        </w:rPr>
        <w:t xml:space="preserve">Complete acquisition. Strategic or sponsor acquires 100% of fully diluted equity. Founders provide transition services for 18–24 months and may participate in earnouts linked to ARR or EBITDA milestones.</w:t>
      </w:r>
    </w:p>
    <w:p>
      <w:pPr>
        <w:pStyle w:val="ListParagraph"/>
        <w:numPr>
          <w:ilvl w:val="0"/>
          <w:numId w:val="2"/>
        </w:numPr>
        <w:spacing w:after="40" w:before="40"/>
      </w:pPr>
      <w:r>
        <w:rPr>
          <w:rFonts w:ascii="Calibri" w:cs="Calibri" w:eastAsia="Calibri" w:hAnsi="Calibri"/>
          <w:color w:val="1A1A1A"/>
          <w:sz w:val="22"/>
          <w:szCs w:val="22"/>
        </w:rPr>
        <w:t xml:space="preserve">Growth investment. Primary capital infusion of $30M–$60M with a partial secondary component for early-stage investors and ESOP holders, accompanied by board representation and customary minority protections.</w:t>
      </w:r>
    </w:p>
    <w:p>
      <w:pPr>
        <w:pStyle w:val="Heading3"/>
        <w:spacing w:after="80" w:before="160"/>
      </w:pPr>
      <w:r>
        <w:rPr>
          <w:rFonts w:ascii="Calibri" w:cs="Calibri" w:eastAsia="Calibri" w:hAnsi="Calibri"/>
          <w:b/>
          <w:bCs/>
          <w:color w:val="1A1A1A"/>
          <w:sz w:val="24"/>
          <w:szCs w:val="24"/>
        </w:rPr>
        <w:t xml:space="preserve">2.3 Indicative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tblHeader/>
        </w:trPr>
        <w:tc>
          <w:tcPr>
            <w:tcW w:type="dxa" w:w="18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Phase</w:t>
            </w:r>
          </w:p>
        </w:tc>
        <w:tc>
          <w:tcPr>
            <w:tcW w:type="dxa" w:w="50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Activity</w:t>
            </w:r>
          </w:p>
        </w:tc>
        <w:tc>
          <w:tcPr>
            <w:tcW w:type="dxa" w:w="256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Indicative Date</w:t>
            </w:r>
          </w:p>
        </w:tc>
      </w:tr>
      <w:tr>
        <w:tc>
          <w:tcPr>
            <w:tcW w:type="dxa" w:w="1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Phase 1</w:t>
            </w:r>
          </w:p>
        </w:tc>
        <w:tc>
          <w:tcPr>
            <w:tcW w:type="dxa" w:w="5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CIM distribution &amp; management presentations</w:t>
            </w:r>
          </w:p>
        </w:tc>
        <w:tc>
          <w:tcPr>
            <w:tcW w:type="dxa" w:w="25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Feb–Mar 2026</w:t>
            </w:r>
          </w:p>
        </w:tc>
      </w:tr>
      <w:tr>
        <w:tc>
          <w:tcPr>
            <w:tcW w:type="dxa" w:w="18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Phase 2</w:t>
            </w:r>
          </w:p>
        </w:tc>
        <w:tc>
          <w:tcPr>
            <w:tcW w:type="dxa" w:w="50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Non-binding indications of interest</w:t>
            </w:r>
          </w:p>
        </w:tc>
        <w:tc>
          <w:tcPr>
            <w:tcW w:type="dxa" w:w="25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April 30, 2026</w:t>
            </w:r>
          </w:p>
        </w:tc>
      </w:tr>
      <w:tr>
        <w:tc>
          <w:tcPr>
            <w:tcW w:type="dxa" w:w="1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Phase 3</w:t>
            </w:r>
          </w:p>
        </w:tc>
        <w:tc>
          <w:tcPr>
            <w:tcW w:type="dxa" w:w="5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Shortlist &amp; data room access</w:t>
            </w:r>
          </w:p>
        </w:tc>
        <w:tc>
          <w:tcPr>
            <w:tcW w:type="dxa" w:w="25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May–June 2026</w:t>
            </w:r>
          </w:p>
        </w:tc>
      </w:tr>
      <w:tr>
        <w:tc>
          <w:tcPr>
            <w:tcW w:type="dxa" w:w="18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Phase 4</w:t>
            </w:r>
          </w:p>
        </w:tc>
        <w:tc>
          <w:tcPr>
            <w:tcW w:type="dxa" w:w="50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Confirmatory diligence &amp; binding offers</w:t>
            </w:r>
          </w:p>
        </w:tc>
        <w:tc>
          <w:tcPr>
            <w:tcW w:type="dxa" w:w="25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July 2026</w:t>
            </w:r>
          </w:p>
        </w:tc>
      </w:tr>
      <w:tr>
        <w:tc>
          <w:tcPr>
            <w:tcW w:type="dxa" w:w="18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Phase 5</w:t>
            </w:r>
          </w:p>
        </w:tc>
        <w:tc>
          <w:tcPr>
            <w:tcW w:type="dxa" w:w="50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Signing &amp; closing</w:t>
            </w:r>
          </w:p>
        </w:tc>
        <w:tc>
          <w:tcPr>
            <w:tcW w:type="dxa" w:w="25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August 31, 2026</w:t>
            </w:r>
          </w:p>
        </w:tc>
      </w:tr>
    </w:tbl>
    <w:p>
      <w:pPr>
        <w:pStyle w:val="Heading3"/>
        <w:spacing w:after="80" w:before="160"/>
      </w:pPr>
      <w:r>
        <w:rPr>
          <w:rFonts w:ascii="Calibri" w:cs="Calibri" w:eastAsia="Calibri" w:hAnsi="Calibri"/>
          <w:b/>
          <w:bCs/>
          <w:color w:val="1A1A1A"/>
          <w:sz w:val="24"/>
          <w:szCs w:val="24"/>
        </w:rPr>
        <w:t xml:space="preserve">2.4 Use of Proceeds (Primary Component, if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80"/>
        <w:gridCol w:w="2280"/>
      </w:tblGrid>
      <w:tr>
        <w:trPr>
          <w:tblHeader/>
        </w:trPr>
        <w:tc>
          <w:tcPr>
            <w:tcW w:type="dxa" w:w="48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Use</w:t>
            </w:r>
          </w:p>
        </w:tc>
        <w:tc>
          <w:tcPr>
            <w:tcW w:type="dxa" w:w="228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w:t>
            </w:r>
          </w:p>
        </w:tc>
        <w:tc>
          <w:tcPr>
            <w:tcW w:type="dxa" w:w="228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 of Primary</w:t>
            </w:r>
          </w:p>
        </w:tc>
      </w:tr>
      <w:tr>
        <w:tc>
          <w:tcPr>
            <w:tcW w:type="dxa" w:w="4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Enterprise sales team buildout (US + EMEA)</w:t>
            </w:r>
          </w:p>
        </w:tc>
        <w:tc>
          <w:tcPr>
            <w:tcW w:type="dxa" w:w="22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16.0</w:t>
            </w:r>
          </w:p>
        </w:tc>
        <w:tc>
          <w:tcPr>
            <w:tcW w:type="dxa" w:w="22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40.0%</w:t>
            </w:r>
          </w:p>
        </w:tc>
      </w:tr>
      <w:tr>
        <w:tc>
          <w:tcPr>
            <w:tcW w:type="dxa" w:w="48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Product engineering &amp; AI workflow capabilities</w:t>
            </w:r>
          </w:p>
        </w:tc>
        <w:tc>
          <w:tcPr>
            <w:tcW w:type="dxa" w:w="228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10.0</w:t>
            </w:r>
          </w:p>
        </w:tc>
        <w:tc>
          <w:tcPr>
            <w:tcW w:type="dxa" w:w="228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25.0%</w:t>
            </w:r>
          </w:p>
        </w:tc>
      </w:tr>
      <w:tr>
        <w:tc>
          <w:tcPr>
            <w:tcW w:type="dxa" w:w="4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International expansion (EMEA, APAC)</w:t>
            </w:r>
          </w:p>
        </w:tc>
        <w:tc>
          <w:tcPr>
            <w:tcW w:type="dxa" w:w="22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6.0</w:t>
            </w:r>
          </w:p>
        </w:tc>
        <w:tc>
          <w:tcPr>
            <w:tcW w:type="dxa" w:w="22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15.0%</w:t>
            </w:r>
          </w:p>
        </w:tc>
      </w:tr>
      <w:tr>
        <w:tc>
          <w:tcPr>
            <w:tcW w:type="dxa" w:w="48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Strategic M&amp;A (vertical-specific bolt-ons)</w:t>
            </w:r>
          </w:p>
        </w:tc>
        <w:tc>
          <w:tcPr>
            <w:tcW w:type="dxa" w:w="228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5.0</w:t>
            </w:r>
          </w:p>
        </w:tc>
        <w:tc>
          <w:tcPr>
            <w:tcW w:type="dxa" w:w="228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12.5%</w:t>
            </w:r>
          </w:p>
        </w:tc>
      </w:tr>
      <w:tr>
        <w:tc>
          <w:tcPr>
            <w:tcW w:type="dxa" w:w="4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Working capital &amp; general corporate</w:t>
            </w:r>
          </w:p>
        </w:tc>
        <w:tc>
          <w:tcPr>
            <w:tcW w:type="dxa" w:w="22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3.0</w:t>
            </w:r>
          </w:p>
        </w:tc>
        <w:tc>
          <w:tcPr>
            <w:tcW w:type="dxa" w:w="22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7.5%</w:t>
            </w:r>
          </w:p>
        </w:tc>
      </w:tr>
      <w:tr>
        <w:tc>
          <w:tcPr>
            <w:tcW w:type="dxa" w:w="48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Total Primary Use</w:t>
            </w:r>
          </w:p>
        </w:tc>
        <w:tc>
          <w:tcPr>
            <w:tcW w:type="dxa" w:w="228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40.0</w:t>
            </w:r>
          </w:p>
        </w:tc>
        <w:tc>
          <w:tcPr>
            <w:tcW w:type="dxa" w:w="228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100.0%</w:t>
            </w:r>
          </w:p>
        </w:tc>
      </w:tr>
    </w:tbl>
    <w:p>
      <w:pPr>
        <w:pStyle w:val="Heading1"/>
        <w:pageBreakBefore/>
        <w:pBdr>
          <w:bottom w:val="single" w:color="1F4E79" w:sz="8" w:space="4"/>
        </w:pBdr>
        <w:spacing w:after="180" w:before="240"/>
      </w:pPr>
      <w:r>
        <w:rPr>
          <w:rFonts w:ascii="Calibri" w:cs="Calibri" w:eastAsia="Calibri" w:hAnsi="Calibri"/>
          <w:b/>
          <w:bCs/>
          <w:color w:val="0B2545"/>
          <w:sz w:val="36"/>
          <w:szCs w:val="36"/>
        </w:rPr>
        <w:t xml:space="preserve">3. Company Overview</w:t>
      </w:r>
    </w:p>
    <w:p>
      <w:pPr>
        <w:pStyle w:val="Heading3"/>
        <w:spacing w:after="80" w:before="160"/>
      </w:pPr>
      <w:r>
        <w:rPr>
          <w:rFonts w:ascii="Calibri" w:cs="Calibri" w:eastAsia="Calibri" w:hAnsi="Calibri"/>
          <w:b/>
          <w:bCs/>
          <w:color w:val="1A1A1A"/>
          <w:sz w:val="24"/>
          <w:szCs w:val="24"/>
        </w:rPr>
        <w:t xml:space="preserve">3.1 Corporate History</w:t>
      </w:r>
    </w:p>
    <w:p>
      <w:pPr>
        <w:spacing w:after="60" w:before="60"/>
        <w:jc w:val="left"/>
      </w:pPr>
      <w:r>
        <w:rPr>
          <w:rFonts w:ascii="Calibri" w:cs="Calibri" w:eastAsia="Calibri" w:hAnsi="Calibri"/>
          <w:b w:val="false"/>
          <w:bCs w:val="false"/>
          <w:i w:val="false"/>
          <w:iCs w:val="false"/>
          <w:color w:val="1A1A1A"/>
          <w:sz w:val="22"/>
          <w:szCs w:val="22"/>
        </w:rPr>
        <w:t xml:space="preserve">ZenithOps was founded in 2019 by Marcus Chen (CEO, formerly senior product manager at a public iPaaS company) and Priya Venkataraman (CTO, formerly principal engineer at a hyperscaler). The Company began with a focus on financial-services back-office automation and has expanded across verticals over the past four years.</w:t>
      </w:r>
    </w:p>
    <w:p>
      <w:pPr>
        <w:pStyle w:val="ListParagraph"/>
        <w:numPr>
          <w:ilvl w:val="0"/>
          <w:numId w:val="2"/>
        </w:numPr>
        <w:spacing w:after="40" w:before="40"/>
      </w:pPr>
      <w:r>
        <w:rPr>
          <w:rFonts w:ascii="Calibri" w:cs="Calibri" w:eastAsia="Calibri" w:hAnsi="Calibri"/>
          <w:color w:val="1A1A1A"/>
          <w:sz w:val="22"/>
          <w:szCs w:val="22"/>
        </w:rPr>
        <w:t xml:space="preserve">FY2020: Initial commercial launch. Closed 18 founding customers; ended FY2020 with $1.46M revenue. Seed round of $4.5M led by an early-stage SaaS-focused fund.</w:t>
      </w:r>
    </w:p>
    <w:p>
      <w:pPr>
        <w:pStyle w:val="ListParagraph"/>
        <w:numPr>
          <w:ilvl w:val="0"/>
          <w:numId w:val="2"/>
        </w:numPr>
        <w:spacing w:after="40" w:before="40"/>
      </w:pPr>
      <w:r>
        <w:rPr>
          <w:rFonts w:ascii="Calibri" w:cs="Calibri" w:eastAsia="Calibri" w:hAnsi="Calibri"/>
          <w:color w:val="1A1A1A"/>
          <w:sz w:val="22"/>
          <w:szCs w:val="22"/>
        </w:rPr>
        <w:t xml:space="preserve">FY2021: Commercial scale-up. Series A of $9.5M; expanded sales team from 3 to 12 quota-carrying reps. Revenue grew 111% to $3.09M.</w:t>
      </w:r>
    </w:p>
    <w:p>
      <w:pPr>
        <w:pStyle w:val="ListParagraph"/>
        <w:numPr>
          <w:ilvl w:val="0"/>
          <w:numId w:val="2"/>
        </w:numPr>
        <w:spacing w:after="40" w:before="40"/>
      </w:pPr>
      <w:r>
        <w:rPr>
          <w:rFonts w:ascii="Calibri" w:cs="Calibri" w:eastAsia="Calibri" w:hAnsi="Calibri"/>
          <w:color w:val="1A1A1A"/>
          <w:sz w:val="22"/>
          <w:szCs w:val="22"/>
        </w:rPr>
        <w:t xml:space="preserve">FY2022: Platform expansion. Launched workflow marketplace and 60+ new integrations. Ended FY2022 with 234 logos and $8.8M ARR. No additional primary capital raised.</w:t>
      </w:r>
    </w:p>
    <w:p>
      <w:pPr>
        <w:pStyle w:val="ListParagraph"/>
        <w:numPr>
          <w:ilvl w:val="0"/>
          <w:numId w:val="2"/>
        </w:numPr>
        <w:spacing w:after="40" w:before="40"/>
      </w:pPr>
      <w:r>
        <w:rPr>
          <w:rFonts w:ascii="Calibri" w:cs="Calibri" w:eastAsia="Calibri" w:hAnsi="Calibri"/>
          <w:color w:val="1A1A1A"/>
          <w:sz w:val="22"/>
          <w:szCs w:val="22"/>
        </w:rPr>
        <w:t xml:space="preserve">FY2023: International debut. Opened EMEA office (London) and signed first APAC customers. Crossed $19M ARR; international revenue reached 28% of new bookings.</w:t>
      </w:r>
    </w:p>
    <w:p>
      <w:pPr>
        <w:pStyle w:val="ListParagraph"/>
        <w:numPr>
          <w:ilvl w:val="0"/>
          <w:numId w:val="2"/>
        </w:numPr>
        <w:spacing w:after="40" w:before="40"/>
      </w:pPr>
      <w:r>
        <w:rPr>
          <w:rFonts w:ascii="Calibri" w:cs="Calibri" w:eastAsia="Calibri" w:hAnsi="Calibri"/>
          <w:color w:val="1A1A1A"/>
          <w:sz w:val="22"/>
          <w:szCs w:val="22"/>
        </w:rPr>
        <w:t xml:space="preserve">FY2024: Profitability inflection. First profitable year on EBITDA basis ($1.32M, 6.1% margin). Ended FY2024 with 592 logos and $31.8M ARR.</w:t>
      </w:r>
    </w:p>
    <w:p>
      <w:pPr>
        <w:pStyle w:val="ListParagraph"/>
        <w:numPr>
          <w:ilvl w:val="0"/>
          <w:numId w:val="2"/>
        </w:numPr>
        <w:spacing w:after="40" w:before="40"/>
      </w:pPr>
      <w:r>
        <w:rPr>
          <w:rFonts w:ascii="Calibri" w:cs="Calibri" w:eastAsia="Calibri" w:hAnsi="Calibri"/>
          <w:color w:val="1A1A1A"/>
          <w:sz w:val="22"/>
          <w:szCs w:val="22"/>
        </w:rPr>
        <w:t xml:space="preserve">FY2025 (estimate): Continued expansion. Closed Q4 FY2025 with 762 logos, $42.4M ARR, and 13.2% EBITDA margin.</w:t>
      </w:r>
    </w:p>
    <w:p>
      <w:pPr>
        <w:pStyle w:val="Heading3"/>
        <w:spacing w:after="80" w:before="160"/>
      </w:pPr>
      <w:r>
        <w:rPr>
          <w:rFonts w:ascii="Calibri" w:cs="Calibri" w:eastAsia="Calibri" w:hAnsi="Calibri"/>
          <w:b/>
          <w:bCs/>
          <w:color w:val="1A1A1A"/>
          <w:sz w:val="24"/>
          <w:szCs w:val="24"/>
        </w:rPr>
        <w:t xml:space="preserve">3.2 Mission &amp; Positioning</w:t>
      </w:r>
    </w:p>
    <w:p>
      <w:pPr>
        <w:spacing w:after="60" w:before="60"/>
        <w:jc w:val="left"/>
      </w:pPr>
      <w:r>
        <w:rPr>
          <w:rFonts w:ascii="Calibri" w:cs="Calibri" w:eastAsia="Calibri" w:hAnsi="Calibri"/>
          <w:b w:val="false"/>
          <w:bCs w:val="false"/>
          <w:i w:val="false"/>
          <w:iCs w:val="false"/>
          <w:color w:val="1A1A1A"/>
          <w:sz w:val="22"/>
          <w:szCs w:val="22"/>
        </w:rPr>
        <w:t xml:space="preserve">ZenithOps' stated mission is to "eliminate the operational drag that prevents mid-market companies from scaling efficiently." The Company positions in a deliberate gap in the workflow automation market: above no-code consumer tools (Zapier, Make), below enterprise iPaaS suites (MuleSoft, Workato, Boomi), and orthogonal to RPA vendors (UiPath, Automation Anywhere). The target customer is a mid-market company with 200–5,000 employees that has outgrown spreadsheets and scripts but cannot justify the time-to-value or services overhead of an enterprise iPaaS deployment.</w:t>
      </w:r>
    </w:p>
    <w:p>
      <w:pPr>
        <w:pStyle w:val="Heading3"/>
        <w:spacing w:after="80" w:before="160"/>
      </w:pPr>
      <w:r>
        <w:rPr>
          <w:rFonts w:ascii="Calibri" w:cs="Calibri" w:eastAsia="Calibri" w:hAnsi="Calibri"/>
          <w:b/>
          <w:bCs/>
          <w:color w:val="1A1A1A"/>
          <w:sz w:val="24"/>
          <w:szCs w:val="24"/>
        </w:rPr>
        <w:t xml:space="preserve">3.3 Capitalisation Summary</w:t>
      </w:r>
    </w:p>
    <w:p>
      <w:pPr>
        <w:spacing w:after="60" w:before="60"/>
        <w:jc w:val="left"/>
      </w:pPr>
      <w:r>
        <w:rPr>
          <w:rFonts w:ascii="Calibri" w:cs="Calibri" w:eastAsia="Calibri" w:hAnsi="Calibri"/>
          <w:b w:val="false"/>
          <w:bCs w:val="false"/>
          <w:i w:val="false"/>
          <w:iCs w:val="false"/>
          <w:color w:val="1A1A1A"/>
          <w:sz w:val="22"/>
          <w:szCs w:val="22"/>
        </w:rPr>
        <w:t xml:space="preserve">ZenithOps has raised $14M in primary capital across two rounds: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700"/>
        <w:gridCol w:w="2200"/>
        <w:gridCol w:w="2360"/>
      </w:tblGrid>
      <w:tr>
        <w:trPr>
          <w:tblHeader/>
        </w:trPr>
        <w:tc>
          <w:tcPr>
            <w:tcW w:type="dxa" w:w="15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Round</w:t>
            </w:r>
          </w:p>
        </w:tc>
        <w:tc>
          <w:tcPr>
            <w:tcW w:type="dxa" w:w="15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Date</w:t>
            </w:r>
          </w:p>
        </w:tc>
        <w:tc>
          <w:tcPr>
            <w:tcW w:type="dxa" w:w="17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Amount ($M)</w:t>
            </w:r>
          </w:p>
        </w:tc>
        <w:tc>
          <w:tcPr>
            <w:tcW w:type="dxa" w:w="22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Lead</w:t>
            </w:r>
          </w:p>
        </w:tc>
        <w:tc>
          <w:tcPr>
            <w:tcW w:type="dxa" w:w="236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Post-Money ($M)</w:t>
            </w:r>
          </w:p>
        </w:tc>
      </w:tr>
      <w:tr>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Seed</w:t>
            </w:r>
          </w:p>
        </w:tc>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May 2019</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4.5</w:t>
            </w:r>
          </w:p>
        </w:tc>
        <w:tc>
          <w:tcPr>
            <w:tcW w:type="dxa" w:w="2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Coastline Ventures</w:t>
            </w:r>
          </w:p>
        </w:tc>
        <w:tc>
          <w:tcPr>
            <w:tcW w:type="dxa" w:w="2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18.0</w:t>
            </w:r>
          </w:p>
        </w:tc>
      </w:tr>
      <w:tr>
        <w:tc>
          <w:tcPr>
            <w:tcW w:type="dxa" w:w="15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Series A</w:t>
            </w:r>
          </w:p>
        </w:tc>
        <w:tc>
          <w:tcPr>
            <w:tcW w:type="dxa" w:w="15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March 2021</w:t>
            </w:r>
          </w:p>
        </w:tc>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9.5</w:t>
            </w:r>
          </w:p>
        </w:tc>
        <w:tc>
          <w:tcPr>
            <w:tcW w:type="dxa" w:w="2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Ridgeline Capital</w:t>
            </w:r>
          </w:p>
        </w:tc>
        <w:tc>
          <w:tcPr>
            <w:tcW w:type="dxa" w:w="23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62.0</w:t>
            </w:r>
          </w:p>
        </w:tc>
      </w:tr>
      <w:tr>
        <w:tc>
          <w:tcPr>
            <w:tcW w:type="dxa" w:w="15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Total Primary</w:t>
            </w:r>
          </w:p>
        </w:tc>
        <w:tc>
          <w:tcPr>
            <w:tcW w:type="dxa" w:w="15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w:t>
            </w:r>
          </w:p>
        </w:tc>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14.0</w:t>
            </w:r>
          </w:p>
        </w:tc>
        <w:tc>
          <w:tcPr>
            <w:tcW w:type="dxa" w:w="2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w:t>
            </w:r>
          </w:p>
        </w:tc>
        <w:tc>
          <w:tcPr>
            <w:tcW w:type="dxa" w:w="23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w:t>
            </w:r>
          </w:p>
        </w:tc>
      </w:tr>
    </w:tbl>
    <w:p>
      <w:pPr>
        <w:spacing w:after="60" w:before="60"/>
        <w:jc w:val="left"/>
      </w:pPr>
      <w:r>
        <w:rPr>
          <w:rFonts w:ascii="Calibri" w:cs="Calibri" w:eastAsia="Calibri" w:hAnsi="Calibri"/>
          <w:b w:val="false"/>
          <w:bCs w:val="false"/>
          <w:i w:val="false"/>
          <w:iCs w:val="false"/>
          <w:color w:val="1A1A1A"/>
          <w:sz w:val="22"/>
          <w:szCs w:val="22"/>
        </w:rPr>
        <w:t xml:space="preserve">As of December 31, 2025, the cap table on a fully diluted basis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360"/>
        <w:gridCol w:w="2600"/>
      </w:tblGrid>
      <w:tr>
        <w:trPr>
          <w:tblHeader/>
        </w:trPr>
        <w:tc>
          <w:tcPr>
            <w:tcW w:type="dxa" w:w="44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Shareholder</w:t>
            </w:r>
          </w:p>
        </w:tc>
        <w:tc>
          <w:tcPr>
            <w:tcW w:type="dxa" w:w="236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Holding %</w:t>
            </w:r>
          </w:p>
        </w:tc>
        <w:tc>
          <w:tcPr>
            <w:tcW w:type="dxa" w:w="26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Notes</w:t>
            </w:r>
          </w:p>
        </w:tc>
      </w:tr>
      <w:tr>
        <w:tc>
          <w:tcPr>
            <w:tcW w:type="dxa" w:w="4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Marcus Chen (Co-founder, CEO)</w:t>
            </w:r>
          </w:p>
        </w:tc>
        <w:tc>
          <w:tcPr>
            <w:tcW w:type="dxa" w:w="2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21.4%</w:t>
            </w:r>
          </w:p>
        </w:tc>
        <w:tc>
          <w:tcPr>
            <w:tcW w:type="dxa" w:w="2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Founding shareholder</w:t>
            </w:r>
          </w:p>
        </w:tc>
      </w:tr>
      <w:tr>
        <w:tc>
          <w:tcPr>
            <w:tcW w:type="dxa" w:w="4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Priya Venkataraman (Co-founder, CTO)</w:t>
            </w:r>
          </w:p>
        </w:tc>
        <w:tc>
          <w:tcPr>
            <w:tcW w:type="dxa" w:w="23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18.6%</w:t>
            </w:r>
          </w:p>
        </w:tc>
        <w:tc>
          <w:tcPr>
            <w:tcW w:type="dxa" w:w="26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Founding shareholder</w:t>
            </w:r>
          </w:p>
        </w:tc>
      </w:tr>
      <w:tr>
        <w:tc>
          <w:tcPr>
            <w:tcW w:type="dxa" w:w="4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Ridgeline Capital</w:t>
            </w:r>
          </w:p>
        </w:tc>
        <w:tc>
          <w:tcPr>
            <w:tcW w:type="dxa" w:w="2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23.8%</w:t>
            </w:r>
          </w:p>
        </w:tc>
        <w:tc>
          <w:tcPr>
            <w:tcW w:type="dxa" w:w="2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Series A lead</w:t>
            </w:r>
          </w:p>
        </w:tc>
      </w:tr>
      <w:tr>
        <w:tc>
          <w:tcPr>
            <w:tcW w:type="dxa" w:w="4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Coastline Ventures</w:t>
            </w:r>
          </w:p>
        </w:tc>
        <w:tc>
          <w:tcPr>
            <w:tcW w:type="dxa" w:w="23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13.2%</w:t>
            </w:r>
          </w:p>
        </w:tc>
        <w:tc>
          <w:tcPr>
            <w:tcW w:type="dxa" w:w="26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Seed lead, follow-on in Series A</w:t>
            </w:r>
          </w:p>
        </w:tc>
      </w:tr>
      <w:tr>
        <w:tc>
          <w:tcPr>
            <w:tcW w:type="dxa" w:w="4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Other Series A investors (3)</w:t>
            </w:r>
          </w:p>
        </w:tc>
        <w:tc>
          <w:tcPr>
            <w:tcW w:type="dxa" w:w="2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8.4%</w:t>
            </w:r>
          </w:p>
        </w:tc>
        <w:tc>
          <w:tcPr>
            <w:tcW w:type="dxa" w:w="2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
            </w:r>
          </w:p>
        </w:tc>
      </w:tr>
      <w:tr>
        <w:tc>
          <w:tcPr>
            <w:tcW w:type="dxa" w:w="4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Other Seed investors (4)</w:t>
            </w:r>
          </w:p>
        </w:tc>
        <w:tc>
          <w:tcPr>
            <w:tcW w:type="dxa" w:w="23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w:t>
            </w:r>
          </w:p>
        </w:tc>
        <w:tc>
          <w:tcPr>
            <w:tcW w:type="dxa" w:w="26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
            </w:r>
          </w:p>
        </w:tc>
      </w:tr>
      <w:tr>
        <w:tc>
          <w:tcPr>
            <w:tcW w:type="dxa" w:w="4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ESOP (granted, vested + unvested)</w:t>
            </w:r>
          </w:p>
        </w:tc>
        <w:tc>
          <w:tcPr>
            <w:tcW w:type="dxa" w:w="2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11.8%</w:t>
            </w:r>
          </w:p>
        </w:tc>
        <w:tc>
          <w:tcPr>
            <w:tcW w:type="dxa" w:w="2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138 active grant holders</w:t>
            </w:r>
          </w:p>
        </w:tc>
      </w:tr>
      <w:tr>
        <w:tc>
          <w:tcPr>
            <w:tcW w:type="dxa" w:w="4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Total</w:t>
            </w:r>
          </w:p>
        </w:tc>
        <w:tc>
          <w:tcPr>
            <w:tcW w:type="dxa" w:w="23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100.0%</w:t>
            </w:r>
          </w:p>
        </w:tc>
        <w:tc>
          <w:tcPr>
            <w:tcW w:type="dxa" w:w="26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
            </w:r>
          </w:p>
        </w:tc>
      </w:tr>
    </w:tbl>
    <w:p>
      <w:pPr>
        <w:pStyle w:val="Heading1"/>
        <w:pageBreakBefore/>
        <w:pBdr>
          <w:bottom w:val="single" w:color="1F4E79" w:sz="8" w:space="4"/>
        </w:pBdr>
        <w:spacing w:after="180" w:before="240"/>
      </w:pPr>
      <w:r>
        <w:rPr>
          <w:rFonts w:ascii="Calibri" w:cs="Calibri" w:eastAsia="Calibri" w:hAnsi="Calibri"/>
          <w:b/>
          <w:bCs/>
          <w:color w:val="0B2545"/>
          <w:sz w:val="36"/>
          <w:szCs w:val="36"/>
        </w:rPr>
        <w:t xml:space="preserve">4. Product &amp; Platform</w:t>
      </w:r>
    </w:p>
    <w:p>
      <w:pPr>
        <w:pStyle w:val="Heading3"/>
        <w:spacing w:after="80" w:before="160"/>
      </w:pPr>
      <w:r>
        <w:rPr>
          <w:rFonts w:ascii="Calibri" w:cs="Calibri" w:eastAsia="Calibri" w:hAnsi="Calibri"/>
          <w:b/>
          <w:bCs/>
          <w:color w:val="1A1A1A"/>
          <w:sz w:val="24"/>
          <w:szCs w:val="24"/>
        </w:rPr>
        <w:t xml:space="preserve">4.1 Platform Overview</w:t>
      </w:r>
    </w:p>
    <w:p>
      <w:pPr>
        <w:spacing w:after="60" w:before="60"/>
        <w:jc w:val="left"/>
      </w:pPr>
      <w:r>
        <w:rPr>
          <w:rFonts w:ascii="Calibri" w:cs="Calibri" w:eastAsia="Calibri" w:hAnsi="Calibri"/>
          <w:b w:val="false"/>
          <w:bCs w:val="false"/>
          <w:i w:val="false"/>
          <w:iCs w:val="false"/>
          <w:color w:val="1A1A1A"/>
          <w:sz w:val="22"/>
          <w:szCs w:val="22"/>
        </w:rPr>
        <w:t xml:space="preserve">The ZenithOps platform is a multi-tenant SaaS application delivered via a web interface and accessed by customers under a subscription license model. The platform consists of four core modules:</w:t>
      </w:r>
    </w:p>
    <w:p>
      <w:pPr>
        <w:pStyle w:val="ListParagraph"/>
        <w:numPr>
          <w:ilvl w:val="0"/>
          <w:numId w:val="2"/>
        </w:numPr>
        <w:spacing w:after="40" w:before="40"/>
      </w:pPr>
      <w:r>
        <w:rPr>
          <w:rFonts w:ascii="Calibri" w:cs="Calibri" w:eastAsia="Calibri" w:hAnsi="Calibri"/>
          <w:color w:val="1A1A1A"/>
          <w:sz w:val="22"/>
          <w:szCs w:val="22"/>
        </w:rPr>
        <w:t xml:space="preserve">Workflow Builder. A low-code visual designer for assembling multi-step processes that span systems. Customers can define triggers, branches, conditional logic, transformations, and human approval steps without writing code.</w:t>
      </w:r>
    </w:p>
    <w:p>
      <w:pPr>
        <w:pStyle w:val="ListParagraph"/>
        <w:numPr>
          <w:ilvl w:val="0"/>
          <w:numId w:val="2"/>
        </w:numPr>
        <w:spacing w:after="40" w:before="40"/>
      </w:pPr>
      <w:r>
        <w:rPr>
          <w:rFonts w:ascii="Calibri" w:cs="Calibri" w:eastAsia="Calibri" w:hAnsi="Calibri"/>
          <w:color w:val="1A1A1A"/>
          <w:sz w:val="22"/>
          <w:szCs w:val="22"/>
        </w:rPr>
        <w:t xml:space="preserve">Integration Library. 184 pre-built connectors as of Q4 FY2025, covering CRM, ERP, finance, HRIS, ticketing, communication, and storage systems. Connectors are maintained by ZenithOps and updated against vendor API changes.</w:t>
      </w:r>
    </w:p>
    <w:p>
      <w:pPr>
        <w:pStyle w:val="ListParagraph"/>
        <w:numPr>
          <w:ilvl w:val="0"/>
          <w:numId w:val="2"/>
        </w:numPr>
        <w:spacing w:after="40" w:before="40"/>
      </w:pPr>
      <w:r>
        <w:rPr>
          <w:rFonts w:ascii="Calibri" w:cs="Calibri" w:eastAsia="Calibri" w:hAnsi="Calibri"/>
          <w:color w:val="1A1A1A"/>
          <w:sz w:val="22"/>
          <w:szCs w:val="22"/>
        </w:rPr>
        <w:t xml:space="preserve">Orchestration Engine. A managed runtime that executes workflows at scale, with retry logic, error handling, observability, and audit logging. Processed 480M+ steps per month across all customers in Q4 FY2025.</w:t>
      </w:r>
    </w:p>
    <w:p>
      <w:pPr>
        <w:pStyle w:val="ListParagraph"/>
        <w:numPr>
          <w:ilvl w:val="0"/>
          <w:numId w:val="2"/>
        </w:numPr>
        <w:spacing w:after="40" w:before="40"/>
      </w:pPr>
      <w:r>
        <w:rPr>
          <w:rFonts w:ascii="Calibri" w:cs="Calibri" w:eastAsia="Calibri" w:hAnsi="Calibri"/>
          <w:color w:val="1A1A1A"/>
          <w:sz w:val="22"/>
          <w:szCs w:val="22"/>
        </w:rPr>
        <w:t xml:space="preserve">Process Discovery (AI). A telemetry-based module that analyses customer system events to surface automation candidates ranked by estimated time savings and complexity. Released to general availability in Q3 FY2025.</w:t>
      </w:r>
    </w:p>
    <w:p>
      <w:pPr>
        <w:pStyle w:val="Heading3"/>
        <w:spacing w:after="80" w:before="160"/>
      </w:pPr>
      <w:r>
        <w:rPr>
          <w:rFonts w:ascii="Calibri" w:cs="Calibri" w:eastAsia="Calibri" w:hAnsi="Calibri"/>
          <w:b/>
          <w:bCs/>
          <w:color w:val="1A1A1A"/>
          <w:sz w:val="24"/>
          <w:szCs w:val="24"/>
        </w:rPr>
        <w:t xml:space="preserve">4.2 Deployment Model</w:t>
      </w:r>
    </w:p>
    <w:p>
      <w:pPr>
        <w:spacing w:after="60" w:before="60"/>
        <w:jc w:val="left"/>
      </w:pPr>
      <w:r>
        <w:rPr>
          <w:rFonts w:ascii="Calibri" w:cs="Calibri" w:eastAsia="Calibri" w:hAnsi="Calibri"/>
          <w:b w:val="false"/>
          <w:bCs w:val="false"/>
          <w:i w:val="false"/>
          <w:iCs w:val="false"/>
          <w:color w:val="1A1A1A"/>
          <w:sz w:val="22"/>
          <w:szCs w:val="22"/>
        </w:rPr>
        <w:t xml:space="preserve">ZenithOps is delivered as a multi-tenant SaaS hosted on AWS with regional deployments in us-east-1, eu-west-1, and ap-southeast-1. Customers in regulated industries can purchase a single-tenant deployment under the "ZenithOps Private" SKU; this represents 6.4% of FY2025 ARR. Average implementation time for a new customer is 18 days for the standard tier and 42 days for the enterprise tier.</w:t>
      </w:r>
    </w:p>
    <w:p>
      <w:pPr>
        <w:pStyle w:val="Heading3"/>
        <w:spacing w:after="80" w:before="160"/>
      </w:pPr>
      <w:r>
        <w:rPr>
          <w:rFonts w:ascii="Calibri" w:cs="Calibri" w:eastAsia="Calibri" w:hAnsi="Calibri"/>
          <w:b/>
          <w:bCs/>
          <w:color w:val="1A1A1A"/>
          <w:sz w:val="24"/>
          <w:szCs w:val="24"/>
        </w:rPr>
        <w:t xml:space="preserve">4.3 Pricing Architecture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400"/>
        <w:gridCol w:w="1760"/>
      </w:tblGrid>
      <w:tr>
        <w:trPr>
          <w:tblHeader/>
        </w:trPr>
        <w:tc>
          <w:tcPr>
            <w:tcW w:type="dxa" w:w="19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Tier</w:t>
            </w:r>
          </w:p>
        </w:tc>
        <w:tc>
          <w:tcPr>
            <w:tcW w:type="dxa" w:w="23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Annual ACV ($)</w:t>
            </w:r>
          </w:p>
        </w:tc>
        <w:tc>
          <w:tcPr>
            <w:tcW w:type="dxa" w:w="24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Workflow Steps/Mo</w:t>
            </w:r>
          </w:p>
        </w:tc>
        <w:tc>
          <w:tcPr>
            <w:tcW w:type="dxa" w:w="176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FY24 % of ARR</w:t>
            </w:r>
          </w:p>
        </w:tc>
      </w:tr>
      <w:tr>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Starter</w:t>
            </w:r>
          </w:p>
        </w:tc>
        <w:tc>
          <w:tcPr>
            <w:tcW w:type="dxa" w:w="2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12,000–24,000</w:t>
            </w:r>
          </w:p>
        </w:tc>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Up to 100,000</w:t>
            </w:r>
          </w:p>
        </w:tc>
        <w:tc>
          <w:tcPr>
            <w:tcW w:type="dxa" w:w="1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8.4%</w:t>
            </w:r>
          </w:p>
        </w:tc>
      </w:tr>
      <w:tr>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Growth</w:t>
            </w:r>
          </w:p>
        </w:tc>
        <w:tc>
          <w:tcPr>
            <w:tcW w:type="dxa" w:w="2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36,000–84,000</w:t>
            </w:r>
          </w:p>
        </w:tc>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Up to 500,000</w:t>
            </w:r>
          </w:p>
        </w:tc>
        <w:tc>
          <w:tcPr>
            <w:tcW w:type="dxa" w:w="17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27.2%</w:t>
            </w:r>
          </w:p>
        </w:tc>
      </w:tr>
      <w:tr>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Business</w:t>
            </w:r>
          </w:p>
        </w:tc>
        <w:tc>
          <w:tcPr>
            <w:tcW w:type="dxa" w:w="2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120,000–280,000</w:t>
            </w:r>
          </w:p>
        </w:tc>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Up to 2,000,000</w:t>
            </w:r>
          </w:p>
        </w:tc>
        <w:tc>
          <w:tcPr>
            <w:tcW w:type="dxa" w:w="1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38.6%</w:t>
            </w:r>
          </w:p>
        </w:tc>
      </w:tr>
      <w:tr>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Enterprise</w:t>
            </w:r>
          </w:p>
        </w:tc>
        <w:tc>
          <w:tcPr>
            <w:tcW w:type="dxa" w:w="2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360,000+</w:t>
            </w:r>
          </w:p>
        </w:tc>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Custom / unlimited</w:t>
            </w:r>
          </w:p>
        </w:tc>
        <w:tc>
          <w:tcPr>
            <w:tcW w:type="dxa" w:w="17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25.8%</w:t>
            </w:r>
          </w:p>
        </w:tc>
      </w:tr>
      <w:tr>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Total</w:t>
            </w:r>
          </w:p>
        </w:tc>
        <w:tc>
          <w:tcPr>
            <w:tcW w:type="dxa" w:w="2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w:t>
            </w:r>
          </w:p>
        </w:tc>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w:t>
            </w:r>
          </w:p>
        </w:tc>
        <w:tc>
          <w:tcPr>
            <w:tcW w:type="dxa" w:w="17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100.0%</w:t>
            </w:r>
          </w:p>
        </w:tc>
      </w:tr>
    </w:tbl>
    <w:p>
      <w:pPr>
        <w:pStyle w:val="Heading3"/>
        <w:spacing w:after="80" w:before="160"/>
      </w:pPr>
      <w:r>
        <w:rPr>
          <w:rFonts w:ascii="Calibri" w:cs="Calibri" w:eastAsia="Calibri" w:hAnsi="Calibri"/>
          <w:b/>
          <w:bCs/>
          <w:color w:val="1A1A1A"/>
          <w:sz w:val="24"/>
          <w:szCs w:val="24"/>
        </w:rPr>
        <w:t xml:space="preserve">4.4 Product KPIs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4200"/>
        <w:gridCol w:w="1620"/>
        <w:gridCol w:w="1620"/>
        <w:gridCol w:w="1620"/>
      </w:tblGrid>
      <w:tr>
        <w:trPr>
          <w:tblHeader/>
        </w:trPr>
        <w:tc>
          <w:tcPr>
            <w:tcW w:type="dxa" w:w="42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Metric</w:t>
            </w:r>
          </w:p>
        </w:tc>
        <w:tc>
          <w:tcPr>
            <w:tcW w:type="dxa" w:w="162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Q4 FY2023</w:t>
            </w:r>
          </w:p>
        </w:tc>
        <w:tc>
          <w:tcPr>
            <w:tcW w:type="dxa" w:w="162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Q4 FY2024</w:t>
            </w:r>
          </w:p>
        </w:tc>
        <w:tc>
          <w:tcPr>
            <w:tcW w:type="dxa" w:w="162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Q4 FY2025</w:t>
            </w:r>
          </w:p>
        </w:tc>
      </w:tr>
      <w:tr>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Active integrations available</w:t>
            </w:r>
          </w:p>
        </w:tc>
        <w:tc>
          <w:tcPr>
            <w:tcW w:type="dxa" w:w="162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118</w:t>
            </w:r>
          </w:p>
        </w:tc>
        <w:tc>
          <w:tcPr>
            <w:tcW w:type="dxa" w:w="162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152</w:t>
            </w:r>
          </w:p>
        </w:tc>
        <w:tc>
          <w:tcPr>
            <w:tcW w:type="dxa" w:w="162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184</w:t>
            </w:r>
          </w:p>
        </w:tc>
      </w:tr>
      <w:tr>
        <w:tc>
          <w:tcPr>
            <w:tcW w:type="dxa" w:w="4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Workflow steps processed (M/month)</w:t>
            </w:r>
          </w:p>
        </w:tc>
        <w:tc>
          <w:tcPr>
            <w:tcW w:type="dxa" w:w="162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84</w:t>
            </w:r>
          </w:p>
        </w:tc>
        <w:tc>
          <w:tcPr>
            <w:tcW w:type="dxa" w:w="162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248</w:t>
            </w:r>
          </w:p>
        </w:tc>
        <w:tc>
          <w:tcPr>
            <w:tcW w:type="dxa" w:w="162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486</w:t>
            </w:r>
          </w:p>
        </w:tc>
      </w:tr>
      <w:tr>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Trailing-12 platform uptime</w:t>
            </w:r>
          </w:p>
        </w:tc>
        <w:tc>
          <w:tcPr>
            <w:tcW w:type="dxa" w:w="162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99.92%</w:t>
            </w:r>
          </w:p>
        </w:tc>
        <w:tc>
          <w:tcPr>
            <w:tcW w:type="dxa" w:w="162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99.95%</w:t>
            </w:r>
          </w:p>
        </w:tc>
        <w:tc>
          <w:tcPr>
            <w:tcW w:type="dxa" w:w="162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99.97%</w:t>
            </w:r>
          </w:p>
        </w:tc>
      </w:tr>
      <w:tr>
        <w:tc>
          <w:tcPr>
            <w:tcW w:type="dxa" w:w="4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Avg active workflows per customer</w:t>
            </w:r>
          </w:p>
        </w:tc>
        <w:tc>
          <w:tcPr>
            <w:tcW w:type="dxa" w:w="162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8.2</w:t>
            </w:r>
          </w:p>
        </w:tc>
        <w:tc>
          <w:tcPr>
            <w:tcW w:type="dxa" w:w="162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11.4</w:t>
            </w:r>
          </w:p>
        </w:tc>
        <w:tc>
          <w:tcPr>
            <w:tcW w:type="dxa" w:w="162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14.6</w:t>
            </w:r>
          </w:p>
        </w:tc>
      </w:tr>
      <w:tr>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P50 workflow execution latency (ms)</w:t>
            </w:r>
          </w:p>
        </w:tc>
        <w:tc>
          <w:tcPr>
            <w:tcW w:type="dxa" w:w="162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248</w:t>
            </w:r>
          </w:p>
        </w:tc>
        <w:tc>
          <w:tcPr>
            <w:tcW w:type="dxa" w:w="162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186</w:t>
            </w:r>
          </w:p>
        </w:tc>
        <w:tc>
          <w:tcPr>
            <w:tcW w:type="dxa" w:w="162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142</w:t>
            </w:r>
          </w:p>
        </w:tc>
      </w:tr>
    </w:tbl>
    <w:p>
      <w:pPr>
        <w:pStyle w:val="Heading1"/>
        <w:pageBreakBefore/>
        <w:pBdr>
          <w:bottom w:val="single" w:color="1F4E79" w:sz="8" w:space="4"/>
        </w:pBdr>
        <w:spacing w:after="180" w:before="240"/>
      </w:pPr>
      <w:r>
        <w:rPr>
          <w:rFonts w:ascii="Calibri" w:cs="Calibri" w:eastAsia="Calibri" w:hAnsi="Calibri"/>
          <w:b/>
          <w:bCs/>
          <w:color w:val="0B2545"/>
          <w:sz w:val="36"/>
          <w:szCs w:val="36"/>
        </w:rPr>
        <w:t xml:space="preserve">5. Market &amp; Competitive Landscape</w:t>
      </w:r>
    </w:p>
    <w:p>
      <w:pPr>
        <w:pStyle w:val="Heading3"/>
        <w:spacing w:after="80" w:before="160"/>
      </w:pPr>
      <w:r>
        <w:rPr>
          <w:rFonts w:ascii="Calibri" w:cs="Calibri" w:eastAsia="Calibri" w:hAnsi="Calibri"/>
          <w:b/>
          <w:bCs/>
          <w:color w:val="1A1A1A"/>
          <w:sz w:val="24"/>
          <w:szCs w:val="24"/>
        </w:rPr>
        <w:t xml:space="preserve">5.1 Market Sizing</w:t>
      </w:r>
    </w:p>
    <w:p>
      <w:pPr>
        <w:spacing w:after="60" w:before="60"/>
        <w:jc w:val="left"/>
      </w:pPr>
      <w:r>
        <w:rPr>
          <w:rFonts w:ascii="Calibri" w:cs="Calibri" w:eastAsia="Calibri" w:hAnsi="Calibri"/>
          <w:b w:val="false"/>
          <w:bCs w:val="false"/>
          <w:i w:val="false"/>
          <w:iCs w:val="false"/>
          <w:color w:val="1A1A1A"/>
          <w:sz w:val="22"/>
          <w:szCs w:val="22"/>
        </w:rPr>
        <w:t xml:space="preserve">The total addressable market for workflow automation and integration platforms is estimated by Gartner and IDC at approximately $32B in 2025, growing to $58B by 2030 (12.6% CAGR). Within this, the mid-market segment that ZenithOps targets is sized at approximately $9B in 2025 and is forecast to grow at 18–20% per annum through 2030, faster than the overall category as mid-market companies displace internal scripts and spreadsheets.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010"/>
        <w:gridCol w:w="1010"/>
        <w:gridCol w:w="1010"/>
        <w:gridCol w:w="1010"/>
        <w:gridCol w:w="1010"/>
        <w:gridCol w:w="1010"/>
      </w:tblGrid>
      <w:tr>
        <w:trPr>
          <w:tblHeader/>
        </w:trPr>
        <w:tc>
          <w:tcPr>
            <w:tcW w:type="dxa" w:w="33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Segment ($B)</w:t>
            </w:r>
          </w:p>
        </w:tc>
        <w:tc>
          <w:tcPr>
            <w:tcW w:type="dxa" w:w="101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2022</w:t>
            </w:r>
          </w:p>
        </w:tc>
        <w:tc>
          <w:tcPr>
            <w:tcW w:type="dxa" w:w="101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2023</w:t>
            </w:r>
          </w:p>
        </w:tc>
        <w:tc>
          <w:tcPr>
            <w:tcW w:type="dxa" w:w="101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2024</w:t>
            </w:r>
          </w:p>
        </w:tc>
        <w:tc>
          <w:tcPr>
            <w:tcW w:type="dxa" w:w="101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2025E</w:t>
            </w:r>
          </w:p>
        </w:tc>
        <w:tc>
          <w:tcPr>
            <w:tcW w:type="dxa" w:w="101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2030F</w:t>
            </w:r>
          </w:p>
        </w:tc>
        <w:tc>
          <w:tcPr>
            <w:tcW w:type="dxa" w:w="101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5Y CAGR</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Enterprise iPaaS / integration</w:t>
            </w:r>
          </w:p>
        </w:tc>
        <w:tc>
          <w:tcPr>
            <w:tcW w:type="dxa" w:w="10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11.4</w:t>
            </w:r>
          </w:p>
        </w:tc>
        <w:tc>
          <w:tcPr>
            <w:tcW w:type="dxa" w:w="10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13.2</w:t>
            </w:r>
          </w:p>
        </w:tc>
        <w:tc>
          <w:tcPr>
            <w:tcW w:type="dxa" w:w="10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15.4</w:t>
            </w:r>
          </w:p>
        </w:tc>
        <w:tc>
          <w:tcPr>
            <w:tcW w:type="dxa" w:w="10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17.8</w:t>
            </w:r>
          </w:p>
        </w:tc>
        <w:tc>
          <w:tcPr>
            <w:tcW w:type="dxa" w:w="10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29.2</w:t>
            </w:r>
          </w:p>
        </w:tc>
        <w:tc>
          <w:tcPr>
            <w:tcW w:type="dxa" w:w="10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10.4%</w:t>
            </w:r>
          </w:p>
        </w:tc>
      </w:tr>
      <w:tr>
        <w:tc>
          <w:tcPr>
            <w:tcW w:type="dxa" w:w="3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Mid-market workflow automation</w:t>
            </w:r>
          </w:p>
        </w:tc>
        <w:tc>
          <w:tcPr>
            <w:tcW w:type="dxa" w:w="101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5.2</w:t>
            </w:r>
          </w:p>
        </w:tc>
        <w:tc>
          <w:tcPr>
            <w:tcW w:type="dxa" w:w="101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6.4</w:t>
            </w:r>
          </w:p>
        </w:tc>
        <w:tc>
          <w:tcPr>
            <w:tcW w:type="dxa" w:w="101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7.8</w:t>
            </w:r>
          </w:p>
        </w:tc>
        <w:tc>
          <w:tcPr>
            <w:tcW w:type="dxa" w:w="101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9.0</w:t>
            </w:r>
          </w:p>
        </w:tc>
        <w:tc>
          <w:tcPr>
            <w:tcW w:type="dxa" w:w="101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21.4</w:t>
            </w:r>
          </w:p>
        </w:tc>
        <w:tc>
          <w:tcPr>
            <w:tcW w:type="dxa" w:w="101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18.9%</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RPA &amp; process automation</w:t>
            </w:r>
          </w:p>
        </w:tc>
        <w:tc>
          <w:tcPr>
            <w:tcW w:type="dxa" w:w="10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w:t>
            </w:r>
          </w:p>
        </w:tc>
        <w:tc>
          <w:tcPr>
            <w:tcW w:type="dxa" w:w="10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w:t>
            </w:r>
          </w:p>
        </w:tc>
        <w:tc>
          <w:tcPr>
            <w:tcW w:type="dxa" w:w="10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5.4</w:t>
            </w:r>
          </w:p>
        </w:tc>
        <w:tc>
          <w:tcPr>
            <w:tcW w:type="dxa" w:w="10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w:t>
            </w:r>
          </w:p>
        </w:tc>
        <w:tc>
          <w:tcPr>
            <w:tcW w:type="dxa" w:w="10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12.6</w:t>
            </w:r>
          </w:p>
        </w:tc>
        <w:tc>
          <w:tcPr>
            <w:tcW w:type="dxa" w:w="10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15.2%</w:t>
            </w:r>
          </w:p>
        </w:tc>
      </w:tr>
      <w:tr>
        <w:tc>
          <w:tcPr>
            <w:tcW w:type="dxa" w:w="3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Other (scripts, custom)</w:t>
            </w:r>
          </w:p>
        </w:tc>
        <w:tc>
          <w:tcPr>
            <w:tcW w:type="dxa" w:w="101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01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01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01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01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01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r>
        <w:tc>
          <w:tcPr>
            <w:tcW w:type="dxa" w:w="3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Total Addressable Market</w:t>
            </w:r>
          </w:p>
        </w:tc>
        <w:tc>
          <w:tcPr>
            <w:tcW w:type="dxa" w:w="101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20.4</w:t>
            </w:r>
          </w:p>
        </w:tc>
        <w:tc>
          <w:tcPr>
            <w:tcW w:type="dxa" w:w="101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24.2</w:t>
            </w:r>
          </w:p>
        </w:tc>
        <w:tc>
          <w:tcPr>
            <w:tcW w:type="dxa" w:w="101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28.6</w:t>
            </w:r>
          </w:p>
        </w:tc>
        <w:tc>
          <w:tcPr>
            <w:tcW w:type="dxa" w:w="101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33.0</w:t>
            </w:r>
          </w:p>
        </w:tc>
        <w:tc>
          <w:tcPr>
            <w:tcW w:type="dxa" w:w="101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63.2</w:t>
            </w:r>
          </w:p>
        </w:tc>
        <w:tc>
          <w:tcPr>
            <w:tcW w:type="dxa" w:w="101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13.9%</w:t>
            </w:r>
          </w:p>
        </w:tc>
      </w:tr>
    </w:tbl>
    <w:p>
      <w:pPr>
        <w:pStyle w:val="Heading3"/>
        <w:spacing w:after="80" w:before="160"/>
      </w:pPr>
      <w:r>
        <w:rPr>
          <w:rFonts w:ascii="Calibri" w:cs="Calibri" w:eastAsia="Calibri" w:hAnsi="Calibri"/>
          <w:b/>
          <w:bCs/>
          <w:color w:val="1A1A1A"/>
          <w:sz w:val="24"/>
          <w:szCs w:val="24"/>
        </w:rPr>
        <w:t xml:space="preserve">5.2 Demand Drivers</w:t>
      </w:r>
    </w:p>
    <w:p>
      <w:pPr>
        <w:pStyle w:val="ListParagraph"/>
        <w:numPr>
          <w:ilvl w:val="0"/>
          <w:numId w:val="2"/>
        </w:numPr>
        <w:spacing w:after="40" w:before="40"/>
      </w:pPr>
      <w:r>
        <w:rPr>
          <w:rFonts w:ascii="Calibri" w:cs="Calibri" w:eastAsia="Calibri" w:hAnsi="Calibri"/>
          <w:color w:val="1A1A1A"/>
          <w:sz w:val="22"/>
          <w:szCs w:val="22"/>
        </w:rPr>
        <w:t xml:space="preserve">Mid-market system sprawl. The average mid-market company runs 87 SaaS applications (Productiv, 2025), up from 31 in 2018. Each new system creates an integration burden that pure-play iPaaS vendors do not address economically at this segment.</w:t>
      </w:r>
    </w:p>
    <w:p>
      <w:pPr>
        <w:pStyle w:val="ListParagraph"/>
        <w:numPr>
          <w:ilvl w:val="0"/>
          <w:numId w:val="2"/>
        </w:numPr>
        <w:spacing w:after="40" w:before="40"/>
      </w:pPr>
      <w:r>
        <w:rPr>
          <w:rFonts w:ascii="Calibri" w:cs="Calibri" w:eastAsia="Calibri" w:hAnsi="Calibri"/>
          <w:color w:val="1A1A1A"/>
          <w:sz w:val="22"/>
          <w:szCs w:val="22"/>
        </w:rPr>
        <w:t xml:space="preserve">Replacement of internal automation. Internal scripts, Zapier deployments, and Excel-based workflows continue to drive operational risk and tribal knowledge dependencies. ZenithOps wins ~58% of competitive deals against "do nothing / status quo".</w:t>
      </w:r>
    </w:p>
    <w:p>
      <w:pPr>
        <w:pStyle w:val="ListParagraph"/>
        <w:numPr>
          <w:ilvl w:val="0"/>
          <w:numId w:val="2"/>
        </w:numPr>
        <w:spacing w:after="40" w:before="40"/>
      </w:pPr>
      <w:r>
        <w:rPr>
          <w:rFonts w:ascii="Calibri" w:cs="Calibri" w:eastAsia="Calibri" w:hAnsi="Calibri"/>
          <w:color w:val="1A1A1A"/>
          <w:sz w:val="22"/>
          <w:szCs w:val="22"/>
        </w:rPr>
        <w:t xml:space="preserve">AI-augmented operations. Process discovery and natural-language workflow authoring have emerged as the leading purchase drivers in customer interviews conducted during recent diligence calls.</w:t>
      </w:r>
    </w:p>
    <w:p>
      <w:pPr>
        <w:pStyle w:val="ListParagraph"/>
        <w:numPr>
          <w:ilvl w:val="0"/>
          <w:numId w:val="2"/>
        </w:numPr>
        <w:spacing w:after="40" w:before="40"/>
      </w:pPr>
      <w:r>
        <w:rPr>
          <w:rFonts w:ascii="Calibri" w:cs="Calibri" w:eastAsia="Calibri" w:hAnsi="Calibri"/>
          <w:color w:val="1A1A1A"/>
          <w:sz w:val="22"/>
          <w:szCs w:val="22"/>
        </w:rPr>
        <w:t xml:space="preserve">Regulatory and audit requirements. Mid-market companies in regulated industries (healthcare, financial services) are increasingly required to demonstrate auditable, repeatable processes. Manual handoffs do not satisfy these requirements.</w:t>
      </w:r>
    </w:p>
    <w:p>
      <w:pPr>
        <w:pStyle w:val="Heading3"/>
        <w:spacing w:after="80" w:before="160"/>
      </w:pPr>
      <w:r>
        <w:rPr>
          <w:rFonts w:ascii="Calibri" w:cs="Calibri" w:eastAsia="Calibri" w:hAnsi="Calibri"/>
          <w:b/>
          <w:bCs/>
          <w:color w:val="1A1A1A"/>
          <w:sz w:val="24"/>
          <w:szCs w:val="24"/>
        </w:rPr>
        <w:t xml:space="preserve">5.3 Competitive Positioning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3760"/>
      </w:tblGrid>
      <w:tr>
        <w:trPr>
          <w:tblHeader/>
        </w:trPr>
        <w:tc>
          <w:tcPr>
            <w:tcW w:type="dxa" w:w="19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Competitor</w:t>
            </w:r>
          </w:p>
        </w:tc>
        <w:tc>
          <w:tcPr>
            <w:tcW w:type="dxa" w:w="19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Segment</w:t>
            </w:r>
          </w:p>
        </w:tc>
        <w:tc>
          <w:tcPr>
            <w:tcW w:type="dxa" w:w="19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Approx. ARR ($M)</w:t>
            </w:r>
          </w:p>
        </w:tc>
        <w:tc>
          <w:tcPr>
            <w:tcW w:type="dxa" w:w="376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Vs. ZenithOps</w:t>
            </w:r>
          </w:p>
        </w:tc>
      </w:tr>
      <w:tr>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Workato</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Enterprise iPaaS</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~280</w:t>
            </w:r>
          </w:p>
        </w:tc>
        <w:tc>
          <w:tcPr>
            <w:tcW w:type="dxa" w:w="3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Stronger enterprise; more services-heavy; higher TCO</w:t>
            </w:r>
          </w:p>
        </w:tc>
      </w:tr>
      <w:tr>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MuleSoft (Salesforce)</w:t>
            </w:r>
          </w:p>
        </w:tc>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Enterprise iPaaS</w:t>
            </w:r>
          </w:p>
        </w:tc>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~1,800+</w:t>
            </w:r>
          </w:p>
        </w:tc>
        <w:tc>
          <w:tcPr>
            <w:tcW w:type="dxa" w:w="37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Heavyweight; Salesforce-tethered; not mid-market native</w:t>
            </w:r>
          </w:p>
        </w:tc>
      </w:tr>
      <w:tr>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Boomi</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Enterprise iPaaS</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~600</w:t>
            </w:r>
          </w:p>
        </w:tc>
        <w:tc>
          <w:tcPr>
            <w:tcW w:type="dxa" w:w="3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Established but legacy architecture; limited AI</w:t>
            </w:r>
          </w:p>
        </w:tc>
      </w:tr>
      <w:tr>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Zapier</w:t>
            </w:r>
          </w:p>
        </w:tc>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SMB / no-code</w:t>
            </w:r>
          </w:p>
        </w:tc>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~400+</w:t>
            </w:r>
          </w:p>
        </w:tc>
        <w:tc>
          <w:tcPr>
            <w:tcW w:type="dxa" w:w="37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Excellent SMB; lacks enterprise governance</w:t>
            </w:r>
          </w:p>
        </w:tc>
      </w:tr>
      <w:tr>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Make (formerly Integromat)</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SMB / prosumer</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~120</w:t>
            </w:r>
          </w:p>
        </w:tc>
        <w:tc>
          <w:tcPr>
            <w:tcW w:type="dxa" w:w="3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Power-user friendly; mid-market gaps</w:t>
            </w:r>
          </w:p>
        </w:tc>
      </w:tr>
      <w:tr>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Tray.io</w:t>
            </w:r>
          </w:p>
        </w:tc>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Mid-market iPaaS</w:t>
            </w:r>
          </w:p>
        </w:tc>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~70</w:t>
            </w:r>
          </w:p>
        </w:tc>
        <w:tc>
          <w:tcPr>
            <w:tcW w:type="dxa" w:w="37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Closest direct competitor; ZenithOps wins on AI &amp; UX</w:t>
            </w:r>
          </w:p>
        </w:tc>
      </w:tr>
      <w:tr>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ZenithOps</w:t>
            </w:r>
          </w:p>
        </w:tc>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Mid-market workflow</w:t>
            </w:r>
          </w:p>
        </w:tc>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42.4 ARR</w:t>
            </w:r>
          </w:p>
        </w:tc>
        <w:tc>
          <w:tcPr>
            <w:tcW w:type="dxa" w:w="37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AI-native; faster TTV; sweet-spot pricing</w:t>
            </w:r>
          </w:p>
        </w:tc>
      </w:tr>
    </w:tbl>
    <w:p>
      <w:pPr>
        <w:pStyle w:val="Heading3"/>
        <w:spacing w:after="80" w:before="160"/>
      </w:pPr>
      <w:r>
        <w:rPr>
          <w:rFonts w:ascii="Calibri" w:cs="Calibri" w:eastAsia="Calibri" w:hAnsi="Calibri"/>
          <w:b/>
          <w:bCs/>
          <w:color w:val="1A1A1A"/>
          <w:sz w:val="24"/>
          <w:szCs w:val="24"/>
        </w:rPr>
        <w:t xml:space="preserve">5.4 Win/Loss Analysis (Last 12 Months)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660"/>
      </w:tblGrid>
      <w:tr>
        <w:trPr>
          <w:tblHeader/>
        </w:trPr>
        <w:tc>
          <w:tcPr>
            <w:tcW w:type="dxa" w:w="24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Outcome</w:t>
            </w:r>
          </w:p>
        </w:tc>
        <w:tc>
          <w:tcPr>
            <w:tcW w:type="dxa" w:w="17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Deal Count</w:t>
            </w:r>
          </w:p>
        </w:tc>
        <w:tc>
          <w:tcPr>
            <w:tcW w:type="dxa" w:w="17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 of Pipeline</w:t>
            </w:r>
          </w:p>
        </w:tc>
        <w:tc>
          <w:tcPr>
            <w:tcW w:type="dxa" w:w="366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Primary Driver</w:t>
            </w:r>
          </w:p>
        </w:tc>
      </w:tr>
      <w:tr>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Closed-won</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212</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w:t>
            </w:r>
          </w:p>
        </w:tc>
        <w:tc>
          <w:tcPr>
            <w:tcW w:type="dxa" w:w="36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TTV, AI features, mid-market fit</w:t>
            </w:r>
          </w:p>
        </w:tc>
      </w:tr>
      <w:tr>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Closed-lost (status quo)</w:t>
            </w:r>
          </w:p>
        </w:tc>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168</w:t>
            </w:r>
          </w:p>
        </w:tc>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30%</w:t>
            </w:r>
          </w:p>
        </w:tc>
        <w:tc>
          <w:tcPr>
            <w:tcW w:type="dxa" w:w="36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No-decision / budget</w:t>
            </w:r>
          </w:p>
        </w:tc>
      </w:tr>
      <w:tr>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Closed-lost (Workato)</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w:t>
            </w:r>
          </w:p>
        </w:tc>
        <w:tc>
          <w:tcPr>
            <w:tcW w:type="dxa" w:w="36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Existing enterprise commitment</w:t>
            </w:r>
          </w:p>
        </w:tc>
      </w:tr>
      <w:tr>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Closed-lost (Tray.io)</w:t>
            </w:r>
          </w:p>
        </w:tc>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41</w:t>
            </w:r>
          </w:p>
        </w:tc>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w:t>
            </w:r>
          </w:p>
        </w:tc>
        <w:tc>
          <w:tcPr>
            <w:tcW w:type="dxa" w:w="36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Pricing or specific integration</w:t>
            </w:r>
          </w:p>
        </w:tc>
      </w:tr>
      <w:tr>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Closed-lost (other)</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78</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w:t>
            </w:r>
          </w:p>
        </w:tc>
        <w:tc>
          <w:tcPr>
            <w:tcW w:type="dxa" w:w="36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Various</w:t>
            </w:r>
          </w:p>
        </w:tc>
      </w:tr>
      <w:tr>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Total Qualified Pipeline</w:t>
            </w:r>
          </w:p>
        </w:tc>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561</w:t>
            </w:r>
          </w:p>
        </w:tc>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100%</w:t>
            </w:r>
          </w:p>
        </w:tc>
        <w:tc>
          <w:tcPr>
            <w:tcW w:type="dxa" w:w="36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w:t>
            </w:r>
          </w:p>
        </w:tc>
      </w:tr>
    </w:tbl>
    <w:p>
      <w:pPr>
        <w:pStyle w:val="Heading1"/>
        <w:pageBreakBefore/>
        <w:pBdr>
          <w:bottom w:val="single" w:color="1F4E79" w:sz="8" w:space="4"/>
        </w:pBdr>
        <w:spacing w:after="180" w:before="240"/>
      </w:pPr>
      <w:r>
        <w:rPr>
          <w:rFonts w:ascii="Calibri" w:cs="Calibri" w:eastAsia="Calibri" w:hAnsi="Calibri"/>
          <w:b/>
          <w:bCs/>
          <w:color w:val="0B2545"/>
          <w:sz w:val="36"/>
          <w:szCs w:val="36"/>
        </w:rPr>
        <w:t xml:space="preserve">6. Customer Base &amp; Go-to-Market</w:t>
      </w:r>
    </w:p>
    <w:p>
      <w:pPr>
        <w:pStyle w:val="Heading3"/>
        <w:spacing w:after="80" w:before="160"/>
      </w:pPr>
      <w:r>
        <w:rPr>
          <w:rFonts w:ascii="Calibri" w:cs="Calibri" w:eastAsia="Calibri" w:hAnsi="Calibri"/>
          <w:b/>
          <w:bCs/>
          <w:color w:val="1A1A1A"/>
          <w:sz w:val="24"/>
          <w:szCs w:val="24"/>
        </w:rPr>
        <w:t xml:space="preserve">6.1 Customer Profile</w:t>
      </w:r>
    </w:p>
    <w:p>
      <w:pPr>
        <w:spacing w:after="60" w:before="60"/>
        <w:jc w:val="left"/>
      </w:pPr>
      <w:r>
        <w:rPr>
          <w:rFonts w:ascii="Calibri" w:cs="Calibri" w:eastAsia="Calibri" w:hAnsi="Calibri"/>
          <w:b w:val="false"/>
          <w:bCs w:val="false"/>
          <w:i w:val="false"/>
          <w:iCs w:val="false"/>
          <w:color w:val="1A1A1A"/>
          <w:sz w:val="22"/>
          <w:szCs w:val="22"/>
        </w:rPr>
        <w:t xml:space="preserve">ZenithOps serves 762 customers as of Q4 FY2025, with average ACV of approximately $56,000 across the base. The customer profile skews to operationally-intensive mid-market enterprises with multi-system workflows.</w:t>
      </w: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860"/>
      </w:tblGrid>
      <w:tr>
        <w:trPr>
          <w:tblHeader/>
        </w:trPr>
        <w:tc>
          <w:tcPr>
            <w:tcW w:type="dxa" w:w="22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Industry</w:t>
            </w:r>
          </w:p>
        </w:tc>
        <w:tc>
          <w:tcPr>
            <w:tcW w:type="dxa" w:w="17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 of FY24 ARR</w:t>
            </w:r>
          </w:p>
        </w:tc>
        <w:tc>
          <w:tcPr>
            <w:tcW w:type="dxa" w:w="17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Logo Count</w:t>
            </w:r>
          </w:p>
        </w:tc>
        <w:tc>
          <w:tcPr>
            <w:tcW w:type="dxa" w:w="186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Avg ACV ($K)</w:t>
            </w:r>
          </w:p>
        </w:tc>
      </w:tr>
      <w:tr>
        <w:tc>
          <w:tcPr>
            <w:tcW w:type="dxa" w:w="2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Financial Services</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28.0%</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164</w:t>
            </w:r>
          </w:p>
        </w:tc>
        <w:tc>
          <w:tcPr>
            <w:tcW w:type="dxa" w:w="18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94</w:t>
            </w:r>
          </w:p>
        </w:tc>
      </w:tr>
      <w:tr>
        <w:tc>
          <w:tcPr>
            <w:tcW w:type="dxa" w:w="2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Healthcare</w:t>
            </w:r>
          </w:p>
        </w:tc>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16.0%</w:t>
            </w:r>
          </w:p>
        </w:tc>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98</w:t>
            </w:r>
          </w:p>
        </w:tc>
        <w:tc>
          <w:tcPr>
            <w:tcW w:type="dxa" w:w="18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91</w:t>
            </w:r>
          </w:p>
        </w:tc>
      </w:tr>
      <w:tr>
        <w:tc>
          <w:tcPr>
            <w:tcW w:type="dxa" w:w="2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Technology / SaaS</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14.0%</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112</w:t>
            </w:r>
          </w:p>
        </w:tc>
        <w:tc>
          <w:tcPr>
            <w:tcW w:type="dxa" w:w="18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70</w:t>
            </w:r>
          </w:p>
        </w:tc>
      </w:tr>
      <w:tr>
        <w:tc>
          <w:tcPr>
            <w:tcW w:type="dxa" w:w="2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Manufacturing</w:t>
            </w:r>
          </w:p>
        </w:tc>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12.0%</w:t>
            </w:r>
          </w:p>
        </w:tc>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76</w:t>
            </w:r>
          </w:p>
        </w:tc>
        <w:tc>
          <w:tcPr>
            <w:tcW w:type="dxa" w:w="18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88</w:t>
            </w:r>
          </w:p>
        </w:tc>
      </w:tr>
      <w:tr>
        <w:tc>
          <w:tcPr>
            <w:tcW w:type="dxa" w:w="2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Retail / E-commerce</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11.0%</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84</w:t>
            </w:r>
          </w:p>
        </w:tc>
        <w:tc>
          <w:tcPr>
            <w:tcW w:type="dxa" w:w="18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73</w:t>
            </w:r>
          </w:p>
        </w:tc>
      </w:tr>
      <w:tr>
        <w:tc>
          <w:tcPr>
            <w:tcW w:type="dxa" w:w="2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Logistics</w:t>
            </w:r>
          </w:p>
        </w:tc>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8.0%</w:t>
            </w:r>
          </w:p>
        </w:tc>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48</w:t>
            </w:r>
          </w:p>
        </w:tc>
        <w:tc>
          <w:tcPr>
            <w:tcW w:type="dxa" w:w="18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92</w:t>
            </w:r>
          </w:p>
        </w:tc>
      </w:tr>
      <w:tr>
        <w:tc>
          <w:tcPr>
            <w:tcW w:type="dxa" w:w="2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Public Sector / Education</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5.0%</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w:t>
            </w:r>
          </w:p>
        </w:tc>
        <w:tc>
          <w:tcPr>
            <w:tcW w:type="dxa" w:w="18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108</w:t>
            </w:r>
          </w:p>
        </w:tc>
      </w:tr>
      <w:tr>
        <w:tc>
          <w:tcPr>
            <w:tcW w:type="dxa" w:w="2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Other</w:t>
            </w:r>
          </w:p>
        </w:tc>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6.0%</w:t>
            </w:r>
          </w:p>
        </w:tc>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184</w:t>
            </w:r>
          </w:p>
        </w:tc>
        <w:tc>
          <w:tcPr>
            <w:tcW w:type="dxa" w:w="18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w:t>
            </w:r>
          </w:p>
        </w:tc>
      </w:tr>
      <w:tr>
        <w:tc>
          <w:tcPr>
            <w:tcW w:type="dxa" w:w="2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Total</w:t>
            </w:r>
          </w:p>
        </w:tc>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100.0%</w:t>
            </w:r>
          </w:p>
        </w:tc>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792</w:t>
            </w:r>
          </w:p>
        </w:tc>
        <w:tc>
          <w:tcPr>
            <w:tcW w:type="dxa" w:w="18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56</w:t>
            </w:r>
          </w:p>
        </w:tc>
      </w:tr>
    </w:tbl>
    <w:p>
      <w:pPr>
        <w:spacing w:after="60" w:before="60"/>
        <w:jc w:val="left"/>
      </w:pPr>
      <w:r>
        <w:rPr>
          <w:rFonts w:ascii="Calibri" w:cs="Calibri" w:eastAsia="Calibri" w:hAnsi="Calibri"/>
          <w:b w:val="false"/>
          <w:bCs w:val="false"/>
          <w:i/>
          <w:iCs/>
          <w:color w:val="555555"/>
          <w:sz w:val="18"/>
          <w:szCs w:val="18"/>
        </w:rPr>
        <w:t xml:space="preserve">Note: Logo count of 792 in this table reflects gross active accounts including 30 logos with workflow-only free-tier usage; revenue-generating logos at end of Q4 FY2025 totaled 762, consistent with the figure used elsewhere in this Memorandum.</w:t>
      </w:r>
    </w:p>
    <w:p>
      <w:pPr>
        <w:pStyle w:val="Heading3"/>
        <w:spacing w:after="80" w:before="160"/>
      </w:pPr>
      <w:r>
        <w:rPr>
          <w:rFonts w:ascii="Calibri" w:cs="Calibri" w:eastAsia="Calibri" w:hAnsi="Calibri"/>
          <w:b/>
          <w:bCs/>
          <w:color w:val="1A1A1A"/>
          <w:sz w:val="24"/>
          <w:szCs w:val="24"/>
        </w:rPr>
        <w:t xml:space="preserve">6.2 Top 20 Customers (FY2024 ARR Basis)</w:t>
      </w:r>
    </w:p>
    <w:p>
      <w:pPr>
        <w:spacing w:after="60" w:before="60"/>
        <w:jc w:val="left"/>
      </w:pPr>
      <w:r>
        <w:rPr>
          <w:rFonts w:ascii="Calibri" w:cs="Calibri" w:eastAsia="Calibri" w:hAnsi="Calibri"/>
          <w:b w:val="false"/>
          <w:bCs w:val="false"/>
          <w:i/>
          <w:iCs/>
          <w:color w:val="555555"/>
          <w:sz w:val="18"/>
          <w:szCs w:val="18"/>
        </w:rPr>
        <w:t xml:space="preserve">Customer names anonymised per process protocol. A reconciled customer schedule will be made available to qualifying counterparties.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900"/>
        <w:gridCol w:w="1400"/>
        <w:gridCol w:w="1300"/>
        <w:gridCol w:w="1200"/>
        <w:gridCol w:w="1560"/>
      </w:tblGrid>
      <w:tr>
        <w:trPr>
          <w:tblHeader/>
        </w:trPr>
        <w:tc>
          <w:tcPr>
            <w:tcW w:type="dxa" w:w="7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Rank</w:t>
            </w:r>
          </w:p>
        </w:tc>
        <w:tc>
          <w:tcPr>
            <w:tcW w:type="dxa" w:w="13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Customer</w:t>
            </w:r>
          </w:p>
        </w:tc>
        <w:tc>
          <w:tcPr>
            <w:tcW w:type="dxa" w:w="19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Industry</w:t>
            </w:r>
          </w:p>
        </w:tc>
        <w:tc>
          <w:tcPr>
            <w:tcW w:type="dxa" w:w="14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Country</w:t>
            </w:r>
          </w:p>
        </w:tc>
        <w:tc>
          <w:tcPr>
            <w:tcW w:type="dxa" w:w="13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Initial Year</w:t>
            </w:r>
          </w:p>
        </w:tc>
        <w:tc>
          <w:tcPr>
            <w:tcW w:type="dxa" w:w="12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ARR ($K)</w:t>
            </w:r>
          </w:p>
        </w:tc>
        <w:tc>
          <w:tcPr>
            <w:tcW w:type="dxa" w:w="156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 of ARR</w:t>
            </w:r>
          </w:p>
        </w:tc>
      </w:tr>
      <w:tr>
        <w:tc>
          <w:tcPr>
            <w:tcW w:type="dxa" w:w="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1</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Customer A</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Financial Services</w:t>
            </w:r>
          </w:p>
        </w:tc>
        <w:tc>
          <w:tcPr>
            <w:tcW w:type="dxa" w:w="1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USA</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2021</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1,840</w:t>
            </w:r>
          </w:p>
        </w:tc>
        <w:tc>
          <w:tcPr>
            <w:tcW w:type="dxa" w:w="15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9.3%</w:t>
            </w:r>
          </w:p>
        </w:tc>
      </w:tr>
      <w:tr>
        <w:tc>
          <w:tcPr>
            <w:tcW w:type="dxa" w:w="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2</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Customer B</w:t>
            </w:r>
          </w:p>
        </w:tc>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Healthcare</w:t>
            </w:r>
          </w:p>
        </w:tc>
        <w:tc>
          <w:tcPr>
            <w:tcW w:type="dxa" w:w="1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USA</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2022</w:t>
            </w:r>
          </w:p>
        </w:tc>
        <w:tc>
          <w:tcPr>
            <w:tcW w:type="dxa" w:w="1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1,240</w:t>
            </w:r>
          </w:p>
        </w:tc>
        <w:tc>
          <w:tcPr>
            <w:tcW w:type="dxa" w:w="15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w:t>
            </w:r>
          </w:p>
        </w:tc>
      </w:tr>
      <w:tr>
        <w:tc>
          <w:tcPr>
            <w:tcW w:type="dxa" w:w="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3</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Customer C</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Manufacturing</w:t>
            </w:r>
          </w:p>
        </w:tc>
        <w:tc>
          <w:tcPr>
            <w:tcW w:type="dxa" w:w="1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Germany</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2022</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980</w:t>
            </w:r>
          </w:p>
        </w:tc>
        <w:tc>
          <w:tcPr>
            <w:tcW w:type="dxa" w:w="15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4.9%</w:t>
            </w:r>
          </w:p>
        </w:tc>
      </w:tr>
      <w:tr>
        <w:tc>
          <w:tcPr>
            <w:tcW w:type="dxa" w:w="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4</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Customer D</w:t>
            </w:r>
          </w:p>
        </w:tc>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Technology</w:t>
            </w:r>
          </w:p>
        </w:tc>
        <w:tc>
          <w:tcPr>
            <w:tcW w:type="dxa" w:w="1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USA</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2020</w:t>
            </w:r>
          </w:p>
        </w:tc>
        <w:tc>
          <w:tcPr>
            <w:tcW w:type="dxa" w:w="1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920</w:t>
            </w:r>
          </w:p>
        </w:tc>
        <w:tc>
          <w:tcPr>
            <w:tcW w:type="dxa" w:w="15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w:t>
            </w:r>
          </w:p>
        </w:tc>
      </w:tr>
      <w:tr>
        <w:tc>
          <w:tcPr>
            <w:tcW w:type="dxa" w:w="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5</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Customer E</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Retail/E-com</w:t>
            </w:r>
          </w:p>
        </w:tc>
        <w:tc>
          <w:tcPr>
            <w:tcW w:type="dxa" w:w="1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UK</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2023</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880</w:t>
            </w:r>
          </w:p>
        </w:tc>
        <w:tc>
          <w:tcPr>
            <w:tcW w:type="dxa" w:w="15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4.4%</w:t>
            </w:r>
          </w:p>
        </w:tc>
      </w:tr>
      <w:tr>
        <w:tc>
          <w:tcPr>
            <w:tcW w:type="dxa" w:w="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6</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Customer F</w:t>
            </w:r>
          </w:p>
        </w:tc>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Financial Services</w:t>
            </w:r>
          </w:p>
        </w:tc>
        <w:tc>
          <w:tcPr>
            <w:tcW w:type="dxa" w:w="1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Singapore</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2022</w:t>
            </w:r>
          </w:p>
        </w:tc>
        <w:tc>
          <w:tcPr>
            <w:tcW w:type="dxa" w:w="1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740</w:t>
            </w:r>
          </w:p>
        </w:tc>
        <w:tc>
          <w:tcPr>
            <w:tcW w:type="dxa" w:w="15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3.7%</w:t>
            </w:r>
          </w:p>
        </w:tc>
      </w:tr>
      <w:tr>
        <w:tc>
          <w:tcPr>
            <w:tcW w:type="dxa" w:w="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7</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Customer G</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Logistics</w:t>
            </w:r>
          </w:p>
        </w:tc>
        <w:tc>
          <w:tcPr>
            <w:tcW w:type="dxa" w:w="1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USA</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2023</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680</w:t>
            </w:r>
          </w:p>
        </w:tc>
        <w:tc>
          <w:tcPr>
            <w:tcW w:type="dxa" w:w="15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3.4%</w:t>
            </w:r>
          </w:p>
        </w:tc>
      </w:tr>
      <w:tr>
        <w:tc>
          <w:tcPr>
            <w:tcW w:type="dxa" w:w="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8</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Customer H</w:t>
            </w:r>
          </w:p>
        </w:tc>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Healthcare</w:t>
            </w:r>
          </w:p>
        </w:tc>
        <w:tc>
          <w:tcPr>
            <w:tcW w:type="dxa" w:w="1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Canada</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2023</w:t>
            </w:r>
          </w:p>
        </w:tc>
        <w:tc>
          <w:tcPr>
            <w:tcW w:type="dxa" w:w="1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620</w:t>
            </w:r>
          </w:p>
        </w:tc>
        <w:tc>
          <w:tcPr>
            <w:tcW w:type="dxa" w:w="15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w:t>
            </w:r>
          </w:p>
        </w:tc>
      </w:tr>
      <w:tr>
        <w:tc>
          <w:tcPr>
            <w:tcW w:type="dxa" w:w="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9</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Customer I</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Technology</w:t>
            </w:r>
          </w:p>
        </w:tc>
        <w:tc>
          <w:tcPr>
            <w:tcW w:type="dxa" w:w="1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Australia</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2022</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580</w:t>
            </w:r>
          </w:p>
        </w:tc>
        <w:tc>
          <w:tcPr>
            <w:tcW w:type="dxa" w:w="15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2.9%</w:t>
            </w:r>
          </w:p>
        </w:tc>
      </w:tr>
      <w:tr>
        <w:tc>
          <w:tcPr>
            <w:tcW w:type="dxa" w:w="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10</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Customer J</w:t>
            </w:r>
          </w:p>
        </w:tc>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Manufacturing</w:t>
            </w:r>
          </w:p>
        </w:tc>
        <w:tc>
          <w:tcPr>
            <w:tcW w:type="dxa" w:w="1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USA</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2024</w:t>
            </w:r>
          </w:p>
        </w:tc>
        <w:tc>
          <w:tcPr>
            <w:tcW w:type="dxa" w:w="1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540</w:t>
            </w:r>
          </w:p>
        </w:tc>
        <w:tc>
          <w:tcPr>
            <w:tcW w:type="dxa" w:w="15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2.7%</w:t>
            </w:r>
          </w:p>
        </w:tc>
      </w:tr>
      <w:tr>
        <w:tc>
          <w:tcPr>
            <w:tcW w:type="dxa" w:w="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11</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Customer K</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Education</w:t>
            </w:r>
          </w:p>
        </w:tc>
        <w:tc>
          <w:tcPr>
            <w:tcW w:type="dxa" w:w="1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USA</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2021</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480</w:t>
            </w:r>
          </w:p>
        </w:tc>
        <w:tc>
          <w:tcPr>
            <w:tcW w:type="dxa" w:w="15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w:t>
            </w:r>
          </w:p>
        </w:tc>
      </w:tr>
      <w:tr>
        <w:tc>
          <w:tcPr>
            <w:tcW w:type="dxa" w:w="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12</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Customer L</w:t>
            </w:r>
          </w:p>
        </w:tc>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Public Sector</w:t>
            </w:r>
          </w:p>
        </w:tc>
        <w:tc>
          <w:tcPr>
            <w:tcW w:type="dxa" w:w="1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UK</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2024</w:t>
            </w:r>
          </w:p>
        </w:tc>
        <w:tc>
          <w:tcPr>
            <w:tcW w:type="dxa" w:w="1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460</w:t>
            </w:r>
          </w:p>
        </w:tc>
        <w:tc>
          <w:tcPr>
            <w:tcW w:type="dxa" w:w="15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2.3%</w:t>
            </w:r>
          </w:p>
        </w:tc>
      </w:tr>
      <w:tr>
        <w:tc>
          <w:tcPr>
            <w:tcW w:type="dxa" w:w="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13</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Customer M</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Financial Services</w:t>
            </w:r>
          </w:p>
        </w:tc>
        <w:tc>
          <w:tcPr>
            <w:tcW w:type="dxa" w:w="1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Switzerland</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2023</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440</w:t>
            </w:r>
          </w:p>
        </w:tc>
        <w:tc>
          <w:tcPr>
            <w:tcW w:type="dxa" w:w="15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w:t>
            </w:r>
          </w:p>
        </w:tc>
      </w:tr>
      <w:tr>
        <w:tc>
          <w:tcPr>
            <w:tcW w:type="dxa" w:w="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14</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Customer N</w:t>
            </w:r>
          </w:p>
        </w:tc>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Retail/E-com</w:t>
            </w:r>
          </w:p>
        </w:tc>
        <w:tc>
          <w:tcPr>
            <w:tcW w:type="dxa" w:w="1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USA</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2023</w:t>
            </w:r>
          </w:p>
        </w:tc>
        <w:tc>
          <w:tcPr>
            <w:tcW w:type="dxa" w:w="1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420</w:t>
            </w:r>
          </w:p>
        </w:tc>
        <w:tc>
          <w:tcPr>
            <w:tcW w:type="dxa" w:w="15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w:t>
            </w:r>
          </w:p>
        </w:tc>
      </w:tr>
      <w:tr>
        <w:tc>
          <w:tcPr>
            <w:tcW w:type="dxa" w:w="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15</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Customer O</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Technology</w:t>
            </w:r>
          </w:p>
        </w:tc>
        <w:tc>
          <w:tcPr>
            <w:tcW w:type="dxa" w:w="1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Israel</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2024</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380</w:t>
            </w:r>
          </w:p>
        </w:tc>
        <w:tc>
          <w:tcPr>
            <w:tcW w:type="dxa" w:w="15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w:t>
            </w:r>
          </w:p>
        </w:tc>
      </w:tr>
      <w:tr>
        <w:tc>
          <w:tcPr>
            <w:tcW w:type="dxa" w:w="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16</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Customer P</w:t>
            </w:r>
          </w:p>
        </w:tc>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Healthcare</w:t>
            </w:r>
          </w:p>
        </w:tc>
        <w:tc>
          <w:tcPr>
            <w:tcW w:type="dxa" w:w="1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USA</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2024</w:t>
            </w:r>
          </w:p>
        </w:tc>
        <w:tc>
          <w:tcPr>
            <w:tcW w:type="dxa" w:w="1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360</w:t>
            </w:r>
          </w:p>
        </w:tc>
        <w:tc>
          <w:tcPr>
            <w:tcW w:type="dxa" w:w="15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w:t>
            </w:r>
          </w:p>
        </w:tc>
      </w:tr>
      <w:tr>
        <w:tc>
          <w:tcPr>
            <w:tcW w:type="dxa" w:w="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17</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Customer Q</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Manufacturing</w:t>
            </w:r>
          </w:p>
        </w:tc>
        <w:tc>
          <w:tcPr>
            <w:tcW w:type="dxa" w:w="1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Japan</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2023</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340</w:t>
            </w:r>
          </w:p>
        </w:tc>
        <w:tc>
          <w:tcPr>
            <w:tcW w:type="dxa" w:w="15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1.7%</w:t>
            </w:r>
          </w:p>
        </w:tc>
      </w:tr>
      <w:tr>
        <w:tc>
          <w:tcPr>
            <w:tcW w:type="dxa" w:w="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18</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Customer R</w:t>
            </w:r>
          </w:p>
        </w:tc>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Financial Services</w:t>
            </w:r>
          </w:p>
        </w:tc>
        <w:tc>
          <w:tcPr>
            <w:tcW w:type="dxa" w:w="1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USA</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2024</w:t>
            </w:r>
          </w:p>
        </w:tc>
        <w:tc>
          <w:tcPr>
            <w:tcW w:type="dxa" w:w="1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320</w:t>
            </w:r>
          </w:p>
        </w:tc>
        <w:tc>
          <w:tcPr>
            <w:tcW w:type="dxa" w:w="15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w:t>
            </w:r>
          </w:p>
        </w:tc>
      </w:tr>
      <w:tr>
        <w:tc>
          <w:tcPr>
            <w:tcW w:type="dxa" w:w="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19</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Customer S</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Logistics</w:t>
            </w:r>
          </w:p>
        </w:tc>
        <w:tc>
          <w:tcPr>
            <w:tcW w:type="dxa" w:w="1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Netherlands</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2024</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300</w:t>
            </w:r>
          </w:p>
        </w:tc>
        <w:tc>
          <w:tcPr>
            <w:tcW w:type="dxa" w:w="15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w:t>
            </w:r>
          </w:p>
        </w:tc>
      </w:tr>
      <w:tr>
        <w:tc>
          <w:tcPr>
            <w:tcW w:type="dxa" w:w="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20</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Customer T</w:t>
            </w:r>
          </w:p>
        </w:tc>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Technology</w:t>
            </w:r>
          </w:p>
        </w:tc>
        <w:tc>
          <w:tcPr>
            <w:tcW w:type="dxa" w:w="1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USA</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2024</w:t>
            </w:r>
          </w:p>
        </w:tc>
        <w:tc>
          <w:tcPr>
            <w:tcW w:type="dxa" w:w="1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280</w:t>
            </w:r>
          </w:p>
        </w:tc>
        <w:tc>
          <w:tcPr>
            <w:tcW w:type="dxa" w:w="15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w:t>
            </w:r>
          </w:p>
        </w:tc>
      </w:tr>
      <w:tr>
        <w:tc>
          <w:tcPr>
            <w:tcW w:type="dxa" w:w="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Top 20 Total</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w:t>
            </w:r>
          </w:p>
        </w:tc>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w:t>
            </w:r>
          </w:p>
        </w:tc>
        <w:tc>
          <w:tcPr>
            <w:tcW w:type="dxa" w:w="1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w:t>
            </w:r>
          </w:p>
        </w:tc>
        <w:tc>
          <w:tcPr>
            <w:tcW w:type="dxa" w:w="1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12,800</w:t>
            </w:r>
          </w:p>
        </w:tc>
        <w:tc>
          <w:tcPr>
            <w:tcW w:type="dxa" w:w="15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64.5%</w:t>
            </w:r>
          </w:p>
        </w:tc>
      </w:tr>
    </w:tbl>
    <w:p>
      <w:pPr>
        <w:pStyle w:val="Heading3"/>
        <w:spacing w:after="80" w:before="160"/>
      </w:pPr>
      <w:r>
        <w:rPr>
          <w:rFonts w:ascii="Calibri" w:cs="Calibri" w:eastAsia="Calibri" w:hAnsi="Calibri"/>
          <w:b/>
          <w:bCs/>
          <w:color w:val="1A1A1A"/>
          <w:sz w:val="24"/>
          <w:szCs w:val="24"/>
        </w:rPr>
        <w:t xml:space="preserve">6.3 Customer Concentration</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6760"/>
        <w:gridCol w:w="1700"/>
      </w:tblGrid>
      <w:tr>
        <w:trPr>
          <w:tblHeader/>
        </w:trPr>
        <w:tc>
          <w:tcPr>
            <w:tcW w:type="dxa" w:w="676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Bucket</w:t>
            </w:r>
          </w:p>
        </w:tc>
        <w:tc>
          <w:tcPr>
            <w:tcW w:type="dxa" w:w="17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 of FY24 ARR</w:t>
            </w:r>
          </w:p>
        </w:tc>
      </w:tr>
      <w:tr>
        <w:tc>
          <w:tcPr>
            <w:tcW w:type="dxa" w:w="6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Top 1 customer</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9.3%</w:t>
            </w:r>
          </w:p>
        </w:tc>
      </w:tr>
      <w:tr>
        <w:tc>
          <w:tcPr>
            <w:tcW w:type="dxa" w:w="67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Top 5 customers</w:t>
            </w:r>
          </w:p>
        </w:tc>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29.6%</w:t>
            </w:r>
          </w:p>
        </w:tc>
      </w:tr>
      <w:tr>
        <w:tc>
          <w:tcPr>
            <w:tcW w:type="dxa" w:w="6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Top 10 customers</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47.5%</w:t>
            </w:r>
          </w:p>
        </w:tc>
      </w:tr>
      <w:tr>
        <w:tc>
          <w:tcPr>
            <w:tcW w:type="dxa" w:w="67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Top 20 customers</w:t>
            </w:r>
          </w:p>
        </w:tc>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64.5%</w:t>
            </w:r>
          </w:p>
        </w:tc>
      </w:tr>
      <w:tr>
        <w:tc>
          <w:tcPr>
            <w:tcW w:type="dxa" w:w="6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Top 50 customers</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82.0%</w:t>
            </w:r>
          </w:p>
        </w:tc>
      </w:tr>
      <w:tr>
        <w:tc>
          <w:tcPr>
            <w:tcW w:type="dxa" w:w="67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Tail (542 customers)</w:t>
            </w:r>
          </w:p>
        </w:tc>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18.0%</w:t>
            </w:r>
          </w:p>
        </w:tc>
      </w:tr>
    </w:tbl>
    <w:p>
      <w:pPr>
        <w:pStyle w:val="Heading3"/>
        <w:spacing w:after="80" w:before="160"/>
      </w:pPr>
      <w:r>
        <w:rPr>
          <w:rFonts w:ascii="Calibri" w:cs="Calibri" w:eastAsia="Calibri" w:hAnsi="Calibri"/>
          <w:b/>
          <w:bCs/>
          <w:color w:val="1A1A1A"/>
          <w:sz w:val="24"/>
          <w:szCs w:val="24"/>
        </w:rPr>
        <w:t xml:space="preserve">6.4 Geographic Distribution</w:t>
      </w:r>
    </w:p>
    <w:p>
      <w:pPr>
        <w:spacing w:after="60" w:before="60"/>
        <w:jc w:val="left"/>
      </w:pPr>
      <w:r>
        <w:rPr>
          <w:rFonts w:ascii="Calibri" w:cs="Calibri" w:eastAsia="Calibri" w:hAnsi="Calibri"/>
          <w:b w:val="false"/>
          <w:bCs w:val="false"/>
          <w:i w:val="false"/>
          <w:iCs w:val="false"/>
          <w:color w:val="1A1A1A"/>
          <w:sz w:val="22"/>
          <w:szCs w:val="22"/>
        </w:rPr>
        <w:t xml:space="preserve">International revenue accounts for 38% of FY2024 ARR, comprising EMEA (24%), APAC (11%), and LATAM (3%). The Company opened its London office in FY2023 and a Singapore office in early FY2025. EMEA bookings have grown at 124% YoY; APAC at 86% YoY.</w:t>
      </w:r>
    </w:p>
    <w:p>
      <w:pPr>
        <w:pStyle w:val="Heading3"/>
        <w:spacing w:after="80" w:before="160"/>
      </w:pPr>
      <w:r>
        <w:rPr>
          <w:rFonts w:ascii="Calibri" w:cs="Calibri" w:eastAsia="Calibri" w:hAnsi="Calibri"/>
          <w:b/>
          <w:bCs/>
          <w:color w:val="1A1A1A"/>
          <w:sz w:val="24"/>
          <w:szCs w:val="24"/>
        </w:rPr>
        <w:t xml:space="preserve">6.5 Go-to-Market Motion</w:t>
      </w:r>
    </w:p>
    <w:p>
      <w:pPr>
        <w:pStyle w:val="ListParagraph"/>
        <w:numPr>
          <w:ilvl w:val="0"/>
          <w:numId w:val="2"/>
        </w:numPr>
        <w:spacing w:after="40" w:before="40"/>
      </w:pPr>
      <w:r>
        <w:rPr>
          <w:rFonts w:ascii="Calibri" w:cs="Calibri" w:eastAsia="Calibri" w:hAnsi="Calibri"/>
          <w:color w:val="1A1A1A"/>
          <w:sz w:val="22"/>
          <w:szCs w:val="22"/>
        </w:rPr>
        <w:t xml:space="preserve">Sales-led primary motion. ZenithOps employs a hybrid sales-led model with 38 quota-carrying account executives as of Q4 FY2025, supported by 24 sales development representatives and 18 solutions architects.</w:t>
      </w:r>
    </w:p>
    <w:p>
      <w:pPr>
        <w:pStyle w:val="ListParagraph"/>
        <w:numPr>
          <w:ilvl w:val="0"/>
          <w:numId w:val="2"/>
        </w:numPr>
        <w:spacing w:after="40" w:before="40"/>
      </w:pPr>
      <w:r>
        <w:rPr>
          <w:rFonts w:ascii="Calibri" w:cs="Calibri" w:eastAsia="Calibri" w:hAnsi="Calibri"/>
          <w:color w:val="1A1A1A"/>
          <w:sz w:val="22"/>
          <w:szCs w:val="22"/>
        </w:rPr>
        <w:t xml:space="preserve">Product-led entry path. Free trial sign-ups average 2,200 per month; conversion-to-paid rate is 8.4%. Roughly 22% of net new ARR in FY2025 originated from product-qualified leads.</w:t>
      </w:r>
    </w:p>
    <w:p>
      <w:pPr>
        <w:pStyle w:val="ListParagraph"/>
        <w:numPr>
          <w:ilvl w:val="0"/>
          <w:numId w:val="2"/>
        </w:numPr>
        <w:spacing w:after="40" w:before="40"/>
      </w:pPr>
      <w:r>
        <w:rPr>
          <w:rFonts w:ascii="Calibri" w:cs="Calibri" w:eastAsia="Calibri" w:hAnsi="Calibri"/>
          <w:color w:val="1A1A1A"/>
          <w:sz w:val="22"/>
          <w:szCs w:val="22"/>
        </w:rPr>
        <w:t xml:space="preserve">Partner channel. 14 active resellers and system integrators; partner-influenced revenue represents 18% of FY2024 net new ARR.</w:t>
      </w:r>
    </w:p>
    <w:p>
      <w:pPr>
        <w:pStyle w:val="ListParagraph"/>
        <w:numPr>
          <w:ilvl w:val="0"/>
          <w:numId w:val="2"/>
        </w:numPr>
        <w:spacing w:after="40" w:before="40"/>
      </w:pPr>
      <w:r>
        <w:rPr>
          <w:rFonts w:ascii="Calibri" w:cs="Calibri" w:eastAsia="Calibri" w:hAnsi="Calibri"/>
          <w:color w:val="1A1A1A"/>
          <w:sz w:val="22"/>
          <w:szCs w:val="22"/>
        </w:rPr>
        <w:t xml:space="preserve">Customer success function. 26 CSMs covering all customers above $20K ACV; quarterly business reviews mandatory for all enterprise-tier accounts.</w:t>
      </w:r>
    </w:p>
    <w:p>
      <w:pPr>
        <w:pStyle w:val="Heading1"/>
        <w:pageBreakBefore/>
        <w:pBdr>
          <w:bottom w:val="single" w:color="1F4E79" w:sz="8" w:space="4"/>
        </w:pBdr>
        <w:spacing w:after="180" w:before="240"/>
      </w:pPr>
      <w:r>
        <w:rPr>
          <w:rFonts w:ascii="Calibri" w:cs="Calibri" w:eastAsia="Calibri" w:hAnsi="Calibri"/>
          <w:b/>
          <w:bCs/>
          <w:color w:val="0B2545"/>
          <w:sz w:val="36"/>
          <w:szCs w:val="36"/>
        </w:rPr>
        <w:t xml:space="preserve">7. SaaS Metrics &amp; Cohort Analysis</w:t>
      </w:r>
    </w:p>
    <w:p>
      <w:pPr>
        <w:pStyle w:val="Heading3"/>
        <w:spacing w:after="80" w:before="160"/>
      </w:pPr>
      <w:r>
        <w:rPr>
          <w:rFonts w:ascii="Calibri" w:cs="Calibri" w:eastAsia="Calibri" w:hAnsi="Calibri"/>
          <w:b/>
          <w:bCs/>
          <w:color w:val="1A1A1A"/>
          <w:sz w:val="24"/>
          <w:szCs w:val="24"/>
        </w:rPr>
        <w:t xml:space="preserve">7.1 Quarterly ARR Build (FY2022–FY2025)</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100"/>
        <w:gridCol w:w="1300"/>
        <w:gridCol w:w="1100"/>
        <w:gridCol w:w="1100"/>
        <w:gridCol w:w="1100"/>
      </w:tblGrid>
      <w:tr>
        <w:trPr>
          <w:tblHeader/>
        </w:trPr>
        <w:tc>
          <w:tcPr>
            <w:tcW w:type="dxa" w:w="17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Quarter</w:t>
            </w:r>
          </w:p>
        </w:tc>
        <w:tc>
          <w:tcPr>
            <w:tcW w:type="dxa" w:w="13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ARR ($K)</w:t>
            </w:r>
          </w:p>
        </w:tc>
        <w:tc>
          <w:tcPr>
            <w:tcW w:type="dxa" w:w="11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New ARR</w:t>
            </w:r>
          </w:p>
        </w:tc>
        <w:tc>
          <w:tcPr>
            <w:tcW w:type="dxa" w:w="13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Expansion</w:t>
            </w:r>
          </w:p>
        </w:tc>
        <w:tc>
          <w:tcPr>
            <w:tcW w:type="dxa" w:w="11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Churn</w:t>
            </w:r>
          </w:p>
        </w:tc>
        <w:tc>
          <w:tcPr>
            <w:tcW w:type="dxa" w:w="11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Net Adds</w:t>
            </w:r>
          </w:p>
        </w:tc>
        <w:tc>
          <w:tcPr>
            <w:tcW w:type="dxa" w:w="11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Logo Count</w:t>
            </w:r>
          </w:p>
        </w:tc>
      </w:tr>
      <w:tr>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Q1 FY2022</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4,200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840</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900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142</w:t>
            </w:r>
          </w:p>
        </w:tc>
      </w:tr>
      <w:tr>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Q2 FY2022</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5,400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1,280</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1,340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168</w:t>
            </w:r>
          </w:p>
        </w:tc>
      </w:tr>
      <w:tr>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Q3 FY2022</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7,100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1,820</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1,920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198</w:t>
            </w:r>
          </w:p>
        </w:tc>
      </w:tr>
      <w:tr>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Q4 FY2022</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8,800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1,960</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2,080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234</w:t>
            </w:r>
          </w:p>
        </w:tc>
      </w:tr>
      <w:tr>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Q1 FY2023</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11,200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2,680</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480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2,840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278</w:t>
            </w:r>
          </w:p>
        </w:tc>
      </w:tr>
      <w:tr>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Q2 FY2023</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13,800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2,940</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540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3,100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318</w:t>
            </w:r>
          </w:p>
        </w:tc>
      </w:tr>
      <w:tr>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Q3 FY2023</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16,400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2,840</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(420)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3,040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362</w:t>
            </w:r>
          </w:p>
        </w:tc>
      </w:tr>
      <w:tr>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Q4 FY2023</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19,400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3,240</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720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(480)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3,480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408</w:t>
            </w:r>
          </w:p>
        </w:tc>
      </w:tr>
      <w:tr>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Q1 FY2024</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22,600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3,460</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840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(580)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3,720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456</w:t>
            </w:r>
          </w:p>
        </w:tc>
      </w:tr>
      <w:tr>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Q2 FY2024</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25,800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3,520</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920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(640)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3,800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502</w:t>
            </w:r>
          </w:p>
        </w:tc>
      </w:tr>
      <w:tr>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Q3 FY2024</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28,900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3,380</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1,080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(720)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3,740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548</w:t>
            </w:r>
          </w:p>
        </w:tc>
      </w:tr>
      <w:tr>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Q4 FY2024</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31,800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3,120</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1,180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(800)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3,500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592</w:t>
            </w:r>
          </w:p>
        </w:tc>
      </w:tr>
      <w:tr>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Q1 FY2025</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34,200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2,980</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1,240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(880)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3,340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636</w:t>
            </w:r>
          </w:p>
        </w:tc>
      </w:tr>
      <w:tr>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Q2 FY2025</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36,800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3,120</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1,380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(940)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3,560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678</w:t>
            </w:r>
          </w:p>
        </w:tc>
      </w:tr>
      <w:tr>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Q3 FY2025</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39,600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3,280</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1,520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(1,020)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3,780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720</w:t>
            </w:r>
          </w:p>
        </w:tc>
      </w:tr>
      <w:tr>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Q4 FY2025</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42,400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3,120</w:t>
            </w:r>
          </w:p>
        </w:tc>
        <w:tc>
          <w:tcPr>
            <w:tcW w:type="dxa" w:w="1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1,640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(1,080)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3,680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762</w:t>
            </w:r>
          </w:p>
        </w:tc>
      </w:tr>
    </w:tbl>
    <w:p>
      <w:pPr>
        <w:pStyle w:val="Heading3"/>
        <w:spacing w:after="80" w:before="160"/>
      </w:pPr>
      <w:r>
        <w:rPr>
          <w:rFonts w:ascii="Calibri" w:cs="Calibri" w:eastAsia="Calibri" w:hAnsi="Calibri"/>
          <w:b/>
          <w:bCs/>
          <w:color w:val="1A1A1A"/>
          <w:sz w:val="24"/>
          <w:szCs w:val="24"/>
        </w:rPr>
        <w:t xml:space="preserve">7.2 Retention &amp; Efficiency Metrics</w:t>
      </w:r>
    </w:p>
    <w:tbl>
      <w:tblPr>
        <w:tblW w:type="dxa" w:w="9384"/>
        <w:tblBorders>
          <w:top w:val="single" w:color="auto" w:sz="4"/>
          <w:left w:val="single" w:color="auto" w:sz="4"/>
          <w:bottom w:val="single" w:color="auto" w:sz="4"/>
          <w:right w:val="single" w:color="auto" w:sz="4"/>
          <w:insideH w:val="single" w:color="auto" w:sz="4"/>
          <w:insideV w:val="single" w:color="auto" w:sz="4"/>
        </w:tblBorders>
      </w:tblPr>
      <w:tblGrid>
        <w:gridCol w:w="1800"/>
        <w:gridCol w:w="632"/>
        <w:gridCol w:w="632"/>
        <w:gridCol w:w="632"/>
        <w:gridCol w:w="632"/>
        <w:gridCol w:w="632"/>
        <w:gridCol w:w="632"/>
        <w:gridCol w:w="632"/>
        <w:gridCol w:w="632"/>
        <w:gridCol w:w="632"/>
        <w:gridCol w:w="632"/>
        <w:gridCol w:w="632"/>
        <w:gridCol w:w="632"/>
      </w:tblGrid>
      <w:tr>
        <w:trPr>
          <w:tblHeader/>
        </w:trPr>
        <w:tc>
          <w:tcPr>
            <w:tcW w:type="dxa" w:w="18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Metric</w:t>
            </w:r>
          </w:p>
        </w:tc>
        <w:tc>
          <w:tcPr>
            <w:tcW w:type="dxa" w:w="632"/>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Q1'23</w:t>
            </w:r>
          </w:p>
        </w:tc>
        <w:tc>
          <w:tcPr>
            <w:tcW w:type="dxa" w:w="632"/>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Q2'23</w:t>
            </w:r>
          </w:p>
        </w:tc>
        <w:tc>
          <w:tcPr>
            <w:tcW w:type="dxa" w:w="632"/>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Q3'23</w:t>
            </w:r>
          </w:p>
        </w:tc>
        <w:tc>
          <w:tcPr>
            <w:tcW w:type="dxa" w:w="632"/>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Q4'23</w:t>
            </w:r>
          </w:p>
        </w:tc>
        <w:tc>
          <w:tcPr>
            <w:tcW w:type="dxa" w:w="632"/>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Q1'24</w:t>
            </w:r>
          </w:p>
        </w:tc>
        <w:tc>
          <w:tcPr>
            <w:tcW w:type="dxa" w:w="632"/>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Q2'24</w:t>
            </w:r>
          </w:p>
        </w:tc>
        <w:tc>
          <w:tcPr>
            <w:tcW w:type="dxa" w:w="632"/>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Q3'24</w:t>
            </w:r>
          </w:p>
        </w:tc>
        <w:tc>
          <w:tcPr>
            <w:tcW w:type="dxa" w:w="632"/>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Q4'24</w:t>
            </w:r>
          </w:p>
        </w:tc>
        <w:tc>
          <w:tcPr>
            <w:tcW w:type="dxa" w:w="632"/>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Q1'25</w:t>
            </w:r>
          </w:p>
        </w:tc>
        <w:tc>
          <w:tcPr>
            <w:tcW w:type="dxa" w:w="632"/>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Q2'25</w:t>
            </w:r>
          </w:p>
        </w:tc>
        <w:tc>
          <w:tcPr>
            <w:tcW w:type="dxa" w:w="632"/>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Q3'25</w:t>
            </w:r>
          </w:p>
        </w:tc>
        <w:tc>
          <w:tcPr>
            <w:tcW w:type="dxa" w:w="632"/>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Q4'25</w:t>
            </w:r>
          </w:p>
        </w:tc>
      </w:tr>
      <w:tr>
        <w:tc>
          <w:tcPr>
            <w:tcW w:type="dxa" w:w="1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NDR %</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118%</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121%</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124%</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127%</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128%</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129%</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130%</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131%</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130%</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130%</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129%</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128%</w:t>
            </w:r>
          </w:p>
        </w:tc>
      </w:tr>
      <w:tr>
        <w:tc>
          <w:tcPr>
            <w:tcW w:type="dxa" w:w="18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GDR %</w:t>
            </w:r>
          </w:p>
        </w:tc>
        <w:tc>
          <w:tcPr>
            <w:tcW w:type="dxa" w:w="63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91%</w:t>
            </w:r>
          </w:p>
        </w:tc>
        <w:tc>
          <w:tcPr>
            <w:tcW w:type="dxa" w:w="63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92%</w:t>
            </w:r>
          </w:p>
        </w:tc>
        <w:tc>
          <w:tcPr>
            <w:tcW w:type="dxa" w:w="63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93%</w:t>
            </w:r>
          </w:p>
        </w:tc>
        <w:tc>
          <w:tcPr>
            <w:tcW w:type="dxa" w:w="63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93%</w:t>
            </w:r>
          </w:p>
        </w:tc>
        <w:tc>
          <w:tcPr>
            <w:tcW w:type="dxa" w:w="63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94%</w:t>
            </w:r>
          </w:p>
        </w:tc>
        <w:tc>
          <w:tcPr>
            <w:tcW w:type="dxa" w:w="63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94%</w:t>
            </w:r>
          </w:p>
        </w:tc>
        <w:tc>
          <w:tcPr>
            <w:tcW w:type="dxa" w:w="63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95%</w:t>
            </w:r>
          </w:p>
        </w:tc>
        <w:tc>
          <w:tcPr>
            <w:tcW w:type="dxa" w:w="63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95%</w:t>
            </w:r>
          </w:p>
        </w:tc>
        <w:tc>
          <w:tcPr>
            <w:tcW w:type="dxa" w:w="63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95%</w:t>
            </w:r>
          </w:p>
        </w:tc>
        <w:tc>
          <w:tcPr>
            <w:tcW w:type="dxa" w:w="63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95%</w:t>
            </w:r>
          </w:p>
        </w:tc>
        <w:tc>
          <w:tcPr>
            <w:tcW w:type="dxa" w:w="63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95%</w:t>
            </w:r>
          </w:p>
        </w:tc>
        <w:tc>
          <w:tcPr>
            <w:tcW w:type="dxa" w:w="63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95%</w:t>
            </w:r>
          </w:p>
        </w:tc>
      </w:tr>
      <w:tr>
        <w:tc>
          <w:tcPr>
            <w:tcW w:type="dxa" w:w="1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CAC Payback (mo)</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17</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w:t>
            </w:r>
          </w:p>
        </w:tc>
      </w:tr>
      <w:tr>
        <w:tc>
          <w:tcPr>
            <w:tcW w:type="dxa" w:w="18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Magic Number</w:t>
            </w:r>
          </w:p>
        </w:tc>
        <w:tc>
          <w:tcPr>
            <w:tcW w:type="dxa" w:w="63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1.04</w:t>
            </w:r>
          </w:p>
        </w:tc>
        <w:tc>
          <w:tcPr>
            <w:tcW w:type="dxa" w:w="63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1.12</w:t>
            </w:r>
          </w:p>
        </w:tc>
        <w:tc>
          <w:tcPr>
            <w:tcW w:type="dxa" w:w="63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1.18</w:t>
            </w:r>
          </w:p>
        </w:tc>
        <w:tc>
          <w:tcPr>
            <w:tcW w:type="dxa" w:w="63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1.21</w:t>
            </w:r>
          </w:p>
        </w:tc>
        <w:tc>
          <w:tcPr>
            <w:tcW w:type="dxa" w:w="63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1.24</w:t>
            </w:r>
          </w:p>
        </w:tc>
        <w:tc>
          <w:tcPr>
            <w:tcW w:type="dxa" w:w="63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1.22</w:t>
            </w:r>
          </w:p>
        </w:tc>
        <w:tc>
          <w:tcPr>
            <w:tcW w:type="dxa" w:w="63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1.20</w:t>
            </w:r>
          </w:p>
        </w:tc>
        <w:tc>
          <w:tcPr>
            <w:tcW w:type="dxa" w:w="63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1.18</w:t>
            </w:r>
          </w:p>
        </w:tc>
        <w:tc>
          <w:tcPr>
            <w:tcW w:type="dxa" w:w="63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1.16</w:t>
            </w:r>
          </w:p>
        </w:tc>
        <w:tc>
          <w:tcPr>
            <w:tcW w:type="dxa" w:w="63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1.18</w:t>
            </w:r>
          </w:p>
        </w:tc>
        <w:tc>
          <w:tcPr>
            <w:tcW w:type="dxa" w:w="63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1.20</w:t>
            </w:r>
          </w:p>
        </w:tc>
        <w:tc>
          <w:tcPr>
            <w:tcW w:type="dxa" w:w="63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1.22</w:t>
            </w:r>
          </w:p>
        </w:tc>
      </w:tr>
      <w:tr>
        <w:tc>
          <w:tcPr>
            <w:tcW w:type="dxa" w:w="1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Rule of 40</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42%</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51%</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54%</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58%</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61%</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63%</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61%</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64%</w:t>
            </w:r>
          </w:p>
        </w:tc>
        <w:tc>
          <w:tcPr>
            <w:tcW w:type="dxa" w:w="6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65%</w:t>
            </w:r>
          </w:p>
        </w:tc>
      </w:tr>
    </w:tbl>
    <w:p>
      <w:pPr>
        <w:pStyle w:val="Heading3"/>
        <w:spacing w:after="80" w:before="160"/>
      </w:pPr>
      <w:r>
        <w:rPr>
          <w:rFonts w:ascii="Calibri" w:cs="Calibri" w:eastAsia="Calibri" w:hAnsi="Calibri"/>
          <w:b/>
          <w:bCs/>
          <w:color w:val="1A1A1A"/>
          <w:sz w:val="24"/>
          <w:szCs w:val="24"/>
        </w:rPr>
        <w:t xml:space="preserve">7.3 Annual Cohort Retention</w:t>
      </w:r>
    </w:p>
    <w:p>
      <w:pPr>
        <w:spacing w:after="60" w:before="60"/>
        <w:jc w:val="left"/>
      </w:pPr>
      <w:r>
        <w:rPr>
          <w:rFonts w:ascii="Calibri" w:cs="Calibri" w:eastAsia="Calibri" w:hAnsi="Calibri"/>
          <w:b w:val="false"/>
          <w:bCs w:val="false"/>
          <w:i/>
          <w:iCs/>
          <w:color w:val="555555"/>
          <w:sz w:val="18"/>
          <w:szCs w:val="18"/>
        </w:rPr>
        <w:t xml:space="preserve">Net revenue retention by acquisition cohort, expressed as a multiple of the cohort's initial ARR retained N years later. FY2020 cohort retains 1.46x of original ARR after five years.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100"/>
        <w:gridCol w:w="1100"/>
        <w:gridCol w:w="1100"/>
        <w:gridCol w:w="1100"/>
        <w:gridCol w:w="1100"/>
      </w:tblGrid>
      <w:tr>
        <w:trPr>
          <w:tblHeader/>
        </w:trPr>
        <w:tc>
          <w:tcPr>
            <w:tcW w:type="dxa" w:w="15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Cohort</w:t>
            </w:r>
          </w:p>
        </w:tc>
        <w:tc>
          <w:tcPr>
            <w:tcW w:type="dxa" w:w="20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Initial ARR ($K)</w:t>
            </w:r>
          </w:p>
        </w:tc>
        <w:tc>
          <w:tcPr>
            <w:tcW w:type="dxa" w:w="11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Year 1</w:t>
            </w:r>
          </w:p>
        </w:tc>
        <w:tc>
          <w:tcPr>
            <w:tcW w:type="dxa" w:w="11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Year 2</w:t>
            </w:r>
          </w:p>
        </w:tc>
        <w:tc>
          <w:tcPr>
            <w:tcW w:type="dxa" w:w="11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Year 3</w:t>
            </w:r>
          </w:p>
        </w:tc>
        <w:tc>
          <w:tcPr>
            <w:tcW w:type="dxa" w:w="11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Year 4</w:t>
            </w:r>
          </w:p>
        </w:tc>
        <w:tc>
          <w:tcPr>
            <w:tcW w:type="dxa" w:w="11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Year 5</w:t>
            </w:r>
          </w:p>
        </w:tc>
      </w:tr>
      <w:tr>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FY2020</w:t>
            </w:r>
          </w:p>
        </w:tc>
        <w:tc>
          <w:tcPr>
            <w:tcW w:type="dxa" w:w="2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1,240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1.00x</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1.18x</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1.32x</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1.41x</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1.46x</w:t>
            </w:r>
          </w:p>
        </w:tc>
      </w:tr>
      <w:tr>
        <w:tc>
          <w:tcPr>
            <w:tcW w:type="dxa" w:w="15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FY2021</w:t>
            </w:r>
          </w:p>
        </w:tc>
        <w:tc>
          <w:tcPr>
            <w:tcW w:type="dxa" w:w="20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2,680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1.00x</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1.22x</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1.38x</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1.49x</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r>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FY2022</w:t>
            </w:r>
          </w:p>
        </w:tc>
        <w:tc>
          <w:tcPr>
            <w:tcW w:type="dxa" w:w="2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5,840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1.00x</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1.26x</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1.44x</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r>
        <w:tc>
          <w:tcPr>
            <w:tcW w:type="dxa" w:w="15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FY2023</w:t>
            </w:r>
          </w:p>
        </w:tc>
        <w:tc>
          <w:tcPr>
            <w:tcW w:type="dxa" w:w="20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11,420</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1.00x</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1.29x</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r>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FY2024</w:t>
            </w:r>
          </w:p>
        </w:tc>
        <w:tc>
          <w:tcPr>
            <w:tcW w:type="dxa" w:w="2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19,860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1.00x</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bl>
    <w:p>
      <w:pPr>
        <w:pStyle w:val="Heading3"/>
        <w:spacing w:after="80" w:before="160"/>
      </w:pPr>
      <w:r>
        <w:rPr>
          <w:rFonts w:ascii="Calibri" w:cs="Calibri" w:eastAsia="Calibri" w:hAnsi="Calibri"/>
          <w:b/>
          <w:bCs/>
          <w:color w:val="1A1A1A"/>
          <w:sz w:val="24"/>
          <w:szCs w:val="24"/>
        </w:rPr>
        <w:t xml:space="preserve">7.4 Sales Efficiency</w:t>
      </w:r>
    </w:p>
    <w:p>
      <w:pPr>
        <w:spacing w:after="60" w:before="60"/>
        <w:jc w:val="left"/>
      </w:pPr>
      <w:r>
        <w:rPr>
          <w:rFonts w:ascii="Calibri" w:cs="Calibri" w:eastAsia="Calibri" w:hAnsi="Calibri"/>
          <w:b w:val="false"/>
          <w:bCs w:val="false"/>
          <w:i w:val="false"/>
          <w:iCs w:val="false"/>
          <w:color w:val="1A1A1A"/>
          <w:sz w:val="22"/>
          <w:szCs w:val="22"/>
        </w:rPr>
        <w:t xml:space="preserve">Magic number has remained above 1.0x for 13 consecutive quarters, indicating the Company is generating more than $1 of new ARR for every $1 of S&amp;M spend. CAC payback has compressed materially as customer mix has shifted to larger ACV deals and as marketing spend has matured. The Rule of 40 reading at Q4 FY2025 stands at 65%, comfortably in the top quartile of public SaaS comparables.</w:t>
      </w:r>
    </w:p>
    <w:p>
      <w:pPr>
        <w:pStyle w:val="Heading1"/>
        <w:pageBreakBefore/>
        <w:pBdr>
          <w:bottom w:val="single" w:color="1F4E79" w:sz="8" w:space="4"/>
        </w:pBdr>
        <w:spacing w:after="180" w:before="240"/>
      </w:pPr>
      <w:r>
        <w:rPr>
          <w:rFonts w:ascii="Calibri" w:cs="Calibri" w:eastAsia="Calibri" w:hAnsi="Calibri"/>
          <w:b/>
          <w:bCs/>
          <w:color w:val="0B2545"/>
          <w:sz w:val="36"/>
          <w:szCs w:val="36"/>
        </w:rPr>
        <w:t xml:space="preserve">8. Historical Financial Performance</w:t>
      </w:r>
    </w:p>
    <w:p>
      <w:pPr>
        <w:spacing w:after="60" w:before="60"/>
        <w:jc w:val="left"/>
      </w:pPr>
      <w:r>
        <w:rPr>
          <w:rFonts w:ascii="Calibri" w:cs="Calibri" w:eastAsia="Calibri" w:hAnsi="Calibri"/>
          <w:b w:val="false"/>
          <w:bCs w:val="false"/>
          <w:i/>
          <w:iCs/>
          <w:color w:val="555555"/>
          <w:sz w:val="22"/>
          <w:szCs w:val="22"/>
        </w:rPr>
        <w:t xml:space="preserve">The following section presents ZenithOps' audited historical financials for FY2020 through FY2024, plus management estimates for FY2025E based on actuals through November 2025 plus a December forecast. All figures are in USD thousands. Audits for FY2020 through FY2023 were performed by a regional firm; FY2024 was audited by a Big Four firm in connection with the planned process. No material adverse findings have been identified.</w:t>
      </w:r>
    </w:p>
    <w:p>
      <w:pPr>
        <w:pStyle w:val="Heading3"/>
        <w:spacing w:after="80" w:before="160"/>
      </w:pPr>
      <w:r>
        <w:rPr>
          <w:rFonts w:ascii="Calibri" w:cs="Calibri" w:eastAsia="Calibri" w:hAnsi="Calibri"/>
          <w:b/>
          <w:bCs/>
          <w:color w:val="1A1A1A"/>
          <w:sz w:val="24"/>
          <w:szCs w:val="24"/>
        </w:rPr>
        <w:t xml:space="preserve">8.1 Income Statement</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3200"/>
        <w:gridCol w:w="1043"/>
        <w:gridCol w:w="1043"/>
        <w:gridCol w:w="1043"/>
        <w:gridCol w:w="1043"/>
        <w:gridCol w:w="1043"/>
        <w:gridCol w:w="1043"/>
      </w:tblGrid>
      <w:tr>
        <w:trPr>
          <w:tblHeader/>
        </w:trPr>
        <w:tc>
          <w:tcPr>
            <w:tcW w:type="dxa" w:w="32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 thousands</w:t>
            </w:r>
          </w:p>
        </w:tc>
        <w:tc>
          <w:tcPr>
            <w:tcW w:type="dxa" w:w="1043"/>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FY2020A</w:t>
            </w:r>
          </w:p>
        </w:tc>
        <w:tc>
          <w:tcPr>
            <w:tcW w:type="dxa" w:w="1043"/>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FY2021A</w:t>
            </w:r>
          </w:p>
        </w:tc>
        <w:tc>
          <w:tcPr>
            <w:tcW w:type="dxa" w:w="1043"/>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FY2022A</w:t>
            </w:r>
          </w:p>
        </w:tc>
        <w:tc>
          <w:tcPr>
            <w:tcW w:type="dxa" w:w="1043"/>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FY2023A</w:t>
            </w:r>
          </w:p>
        </w:tc>
        <w:tc>
          <w:tcPr>
            <w:tcW w:type="dxa" w:w="1043"/>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FY2024A</w:t>
            </w:r>
          </w:p>
        </w:tc>
        <w:tc>
          <w:tcPr>
            <w:tcW w:type="dxa" w:w="1043"/>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FY2025E</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Subscription Revenue</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1,240</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2,680</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5,840</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11,420</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19,860</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28,400</w:t>
            </w:r>
          </w:p>
        </w:tc>
      </w:tr>
      <w:tr>
        <w:tc>
          <w:tcPr>
            <w:tcW w:type="dxa" w:w="3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Professional Services</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580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940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1,480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2,100</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Other (training, certification)</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40</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85</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140</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240</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380</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540</w:t>
            </w:r>
          </w:p>
        </w:tc>
      </w:tr>
      <w:tr>
        <w:tc>
          <w:tcPr>
            <w:tcW w:type="dxa" w:w="3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bCs/>
                <w:i w:val="false"/>
                <w:iCs w:val="false"/>
                <w:color w:val="1A1A1A"/>
                <w:sz w:val="20"/>
                <w:szCs w:val="20"/>
              </w:rPr>
              <w:t xml:space="preserve">Total Revenue</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1,460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3,085</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6,560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12,600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21,720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31,040</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YoY Growth %</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111.3%</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112.6%</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92.1%</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72.4%</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42.9%</w:t>
            </w:r>
          </w:p>
        </w:tc>
      </w:tr>
      <w:tr>
        <w:tc>
          <w:tcPr>
            <w:tcW w:type="dxa" w:w="3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Hosting &amp; infrastructure</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(186)</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(348)</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(642)</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(1,186)</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(1,980)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(2,680)</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Customer support</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(124)</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(248)</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(472)</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(868)</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(1,420)</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(1,980)</w:t>
            </w:r>
          </w:p>
        </w:tc>
      </w:tr>
      <w:tr>
        <w:tc>
          <w:tcPr>
            <w:tcW w:type="dxa" w:w="3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Implementation team</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(92)</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(168)</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(312)</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(540)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(880)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(1,240)</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Third-party software COGS</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(78)</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(156)</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(280)</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(460)</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(640)</w:t>
            </w:r>
          </w:p>
        </w:tc>
      </w:tr>
      <w:tr>
        <w:tc>
          <w:tcPr>
            <w:tcW w:type="dxa" w:w="3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bCs/>
                <w:i w:val="false"/>
                <w:iCs w:val="false"/>
                <w:color w:val="1A1A1A"/>
                <w:sz w:val="20"/>
                <w:szCs w:val="20"/>
              </w:rPr>
              <w:t xml:space="preserve">Total Cost of Revenue</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(440)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(842)</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(1,582)</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(2,874)</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(4,740)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(6,540)</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bCs/>
                <w:i w:val="false"/>
                <w:iCs w:val="false"/>
                <w:color w:val="1A1A1A"/>
                <w:sz w:val="20"/>
                <w:szCs w:val="20"/>
              </w:rPr>
              <w:t xml:space="preserve">Gross Profit</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1,020</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2,243</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4,978</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9,726</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16,980</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24,500</w:t>
            </w:r>
          </w:p>
        </w:tc>
      </w:tr>
      <w:tr>
        <w:tc>
          <w:tcPr>
            <w:tcW w:type="dxa" w:w="3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Gross Margin %</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69.9%</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72.7%</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75.9%</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77.2%</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78.2%</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78.9%</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Sales &amp; Marketing</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(820)</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(1,640)</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(3,280)</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(5,840)</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(9,240)</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(11,800)</w:t>
            </w:r>
          </w:p>
        </w:tc>
      </w:tr>
      <w:tr>
        <w:tc>
          <w:tcPr>
            <w:tcW w:type="dxa" w:w="3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Research &amp; Development</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(480)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(920)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(1,740)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(2,980)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(4,620)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(6,240)</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General &amp; Administrative</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(320)</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(540)</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(980)</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(1,680)</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(2,480)</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(3,280)</w:t>
            </w:r>
          </w:p>
        </w:tc>
      </w:tr>
      <w:tr>
        <w:tc>
          <w:tcPr>
            <w:tcW w:type="dxa" w:w="3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bCs/>
                <w:i w:val="false"/>
                <w:iCs w:val="false"/>
                <w:color w:val="1A1A1A"/>
                <w:sz w:val="20"/>
                <w:szCs w:val="20"/>
              </w:rPr>
              <w:t xml:space="preserve">Total Operating Expenses</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(1,620)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(3,100)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(6,000)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(10,500)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(16,340)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(21,320)</w:t>
            </w:r>
          </w:p>
        </w:tc>
      </w:tr>
      <w:tr>
        <w:tc>
          <w:tcPr>
            <w:tcW w:type="dxa" w:w="3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Operating Income (EBIT)</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(600)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(857)</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(1,022)</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(774)</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640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3,180</w:t>
            </w:r>
          </w:p>
        </w:tc>
      </w:tr>
      <w:tr>
        <w:tc>
          <w:tcPr>
            <w:tcW w:type="dxa" w:w="3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Add: D&amp;A</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142</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248</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420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680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920</w:t>
            </w:r>
          </w:p>
        </w:tc>
      </w:tr>
      <w:tr>
        <w:tc>
          <w:tcPr>
            <w:tcW w:type="dxa" w:w="3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EBITDA</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(520)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(715)</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(774)</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(354)</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1,320</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4,100</w:t>
            </w:r>
          </w:p>
        </w:tc>
      </w:tr>
      <w:tr>
        <w:tc>
          <w:tcPr>
            <w:tcW w:type="dxa" w:w="3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EBITDA Margin %</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(35.6%)</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(23.2%)</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(11.8%)</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6.1%</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13.2%</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Interest expense, net</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(42)</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(68)</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(124)</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(180)</w:t>
            </w:r>
          </w:p>
        </w:tc>
      </w:tr>
      <w:tr>
        <w:tc>
          <w:tcPr>
            <w:tcW w:type="dxa" w:w="3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Pre-tax income</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(612)</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(885)</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(1,064)</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(842)</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516</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3,000</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Tax expense</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(108)</w:t>
            </w:r>
          </w:p>
        </w:tc>
        <w:tc>
          <w:tcPr>
            <w:tcW w:type="dxa" w:w="1043"/>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(630)</w:t>
            </w:r>
          </w:p>
        </w:tc>
      </w:tr>
      <w:tr>
        <w:tc>
          <w:tcPr>
            <w:tcW w:type="dxa" w:w="3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Net Income</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(612)</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(885)</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(1,064)</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(842)</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408</w:t>
            </w:r>
          </w:p>
        </w:tc>
        <w:tc>
          <w:tcPr>
            <w:tcW w:type="dxa" w:w="1043"/>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2,370</w:t>
            </w:r>
          </w:p>
        </w:tc>
      </w:tr>
    </w:tbl>
    <w:p>
      <w:pPr>
        <w:pStyle w:val="Heading3"/>
        <w:spacing w:after="80" w:before="160"/>
      </w:pPr>
      <w:r>
        <w:rPr>
          <w:rFonts w:ascii="Calibri" w:cs="Calibri" w:eastAsia="Calibri" w:hAnsi="Calibri"/>
          <w:b/>
          <w:bCs/>
          <w:color w:val="1A1A1A"/>
          <w:sz w:val="24"/>
          <w:szCs w:val="24"/>
        </w:rPr>
        <w:t xml:space="preserve">8.2 Revenue Bridge: FY2020 to FY2024</w:t>
      </w:r>
    </w:p>
    <w:p>
      <w:pPr>
        <w:spacing w:after="60" w:before="60"/>
        <w:jc w:val="left"/>
      </w:pPr>
      <w:r>
        <w:rPr>
          <w:rFonts w:ascii="Calibri" w:cs="Calibri" w:eastAsia="Calibri" w:hAnsi="Calibri"/>
          <w:b w:val="false"/>
          <w:bCs w:val="false"/>
          <w:i w:val="false"/>
          <w:iCs w:val="false"/>
          <w:color w:val="1A1A1A"/>
          <w:sz w:val="22"/>
          <w:szCs w:val="22"/>
        </w:rPr>
        <w:t xml:space="preserve">The $20.26M of revenue growth between FY2020 and FY2024 is attributable to the following drivers: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4400"/>
        <w:gridCol w:w="1900"/>
        <w:gridCol w:w="2160"/>
      </w:tblGrid>
      <w:tr>
        <w:trPr>
          <w:tblHeader/>
        </w:trPr>
        <w:tc>
          <w:tcPr>
            <w:tcW w:type="dxa" w:w="44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Driver</w:t>
            </w:r>
          </w:p>
        </w:tc>
        <w:tc>
          <w:tcPr>
            <w:tcW w:type="dxa" w:w="19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w:t>
            </w:r>
          </w:p>
        </w:tc>
        <w:tc>
          <w:tcPr>
            <w:tcW w:type="dxa" w:w="216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 of Growth</w:t>
            </w:r>
          </w:p>
        </w:tc>
      </w:tr>
      <w:tr>
        <w:tc>
          <w:tcPr>
            <w:tcW w:type="dxa" w:w="4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FY2020 baseline revenue</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1.46</w:t>
            </w:r>
          </w:p>
        </w:tc>
        <w:tc>
          <w:tcPr>
            <w:tcW w:type="dxa" w:w="2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r>
        <w:tc>
          <w:tcPr>
            <w:tcW w:type="dxa" w:w="4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New logo additions (logo count growth)</w:t>
            </w:r>
          </w:p>
        </w:tc>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+10.84</w:t>
            </w:r>
          </w:p>
        </w:tc>
        <w:tc>
          <w:tcPr>
            <w:tcW w:type="dxa" w:w="21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53.5%</w:t>
            </w:r>
          </w:p>
        </w:tc>
      </w:tr>
      <w:tr>
        <w:tc>
          <w:tcPr>
            <w:tcW w:type="dxa" w:w="4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Net dollar retention / expansion</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+5.62</w:t>
            </w:r>
          </w:p>
        </w:tc>
        <w:tc>
          <w:tcPr>
            <w:tcW w:type="dxa" w:w="2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27.7%</w:t>
            </w:r>
          </w:p>
        </w:tc>
      </w:tr>
      <w:tr>
        <w:tc>
          <w:tcPr>
            <w:tcW w:type="dxa" w:w="4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ACV expansion (mix shift to larger deals)</w:t>
            </w:r>
          </w:p>
        </w:tc>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+2.94</w:t>
            </w:r>
          </w:p>
        </w:tc>
        <w:tc>
          <w:tcPr>
            <w:tcW w:type="dxa" w:w="21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14.5%</w:t>
            </w:r>
          </w:p>
        </w:tc>
      </w:tr>
      <w:tr>
        <w:tc>
          <w:tcPr>
            <w:tcW w:type="dxa" w:w="4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Pricing actions (FY2022, FY2024)</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+0.86</w:t>
            </w:r>
          </w:p>
        </w:tc>
        <w:tc>
          <w:tcPr>
            <w:tcW w:type="dxa" w:w="2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4.3%</w:t>
            </w:r>
          </w:p>
        </w:tc>
      </w:tr>
      <w:tr>
        <w:tc>
          <w:tcPr>
            <w:tcW w:type="dxa" w:w="4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FY2024 revenue</w:t>
            </w:r>
          </w:p>
        </w:tc>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21.72</w:t>
            </w:r>
          </w:p>
        </w:tc>
        <w:tc>
          <w:tcPr>
            <w:tcW w:type="dxa" w:w="21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100.0%</w:t>
            </w:r>
          </w:p>
        </w:tc>
      </w:tr>
    </w:tbl>
    <w:p>
      <w:pPr>
        <w:pStyle w:val="Heading3"/>
        <w:spacing w:after="80" w:before="160"/>
      </w:pPr>
      <w:r>
        <w:rPr>
          <w:rFonts w:ascii="Calibri" w:cs="Calibri" w:eastAsia="Calibri" w:hAnsi="Calibri"/>
          <w:b/>
          <w:bCs/>
          <w:color w:val="1A1A1A"/>
          <w:sz w:val="24"/>
          <w:szCs w:val="24"/>
        </w:rPr>
        <w:t xml:space="preserve">8.3 Margin Bridge: FY2020 EBITDA Margin (-35.6%) to FY2024 (+6.1%)</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6760"/>
        <w:gridCol w:w="1700"/>
      </w:tblGrid>
      <w:tr>
        <w:trPr>
          <w:tblHeader/>
        </w:trPr>
        <w:tc>
          <w:tcPr>
            <w:tcW w:type="dxa" w:w="676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Driver</w:t>
            </w:r>
          </w:p>
        </w:tc>
        <w:tc>
          <w:tcPr>
            <w:tcW w:type="dxa" w:w="17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Margin Impact (bps)</w:t>
            </w:r>
          </w:p>
        </w:tc>
      </w:tr>
      <w:tr>
        <w:tc>
          <w:tcPr>
            <w:tcW w:type="dxa" w:w="6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FY2020 EBITDA margin</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(3,560)</w:t>
            </w:r>
          </w:p>
        </w:tc>
      </w:tr>
      <w:tr>
        <w:tc>
          <w:tcPr>
            <w:tcW w:type="dxa" w:w="67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Gross margin expansion (hosting leverage + mix)</w:t>
            </w:r>
          </w:p>
        </w:tc>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+830</w:t>
            </w:r>
          </w:p>
        </w:tc>
      </w:tr>
      <w:tr>
        <w:tc>
          <w:tcPr>
            <w:tcW w:type="dxa" w:w="6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S&amp;M leverage (revenue per AE)</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+1,920</w:t>
            </w:r>
          </w:p>
        </w:tc>
      </w:tr>
      <w:tr>
        <w:tc>
          <w:tcPr>
            <w:tcW w:type="dxa" w:w="67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R&amp;D leverage on growing base</w:t>
            </w:r>
          </w:p>
        </w:tc>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+880</w:t>
            </w:r>
          </w:p>
        </w:tc>
      </w:tr>
      <w:tr>
        <w:tc>
          <w:tcPr>
            <w:tcW w:type="dxa" w:w="6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G&amp;A leverage</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+450</w:t>
            </w:r>
          </w:p>
        </w:tc>
      </w:tr>
      <w:tr>
        <w:tc>
          <w:tcPr>
            <w:tcW w:type="dxa" w:w="67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Reinvestment offsets (international, AI capability)</w:t>
            </w:r>
          </w:p>
        </w:tc>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(910)</w:t>
            </w:r>
          </w:p>
        </w:tc>
      </w:tr>
      <w:tr>
        <w:tc>
          <w:tcPr>
            <w:tcW w:type="dxa" w:w="67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FY2024 EBITDA margin</w:t>
            </w:r>
          </w:p>
        </w:tc>
        <w:tc>
          <w:tcPr>
            <w:tcW w:type="dxa" w:w="1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+610</w:t>
            </w:r>
          </w:p>
        </w:tc>
      </w:tr>
    </w:tbl>
    <w:p>
      <w:pPr>
        <w:pStyle w:val="Heading3"/>
        <w:spacing w:after="80" w:before="160"/>
      </w:pPr>
      <w:r>
        <w:rPr>
          <w:rFonts w:ascii="Calibri" w:cs="Calibri" w:eastAsia="Calibri" w:hAnsi="Calibri"/>
          <w:b/>
          <w:bCs/>
          <w:color w:val="1A1A1A"/>
          <w:sz w:val="24"/>
          <w:szCs w:val="24"/>
        </w:rPr>
        <w:t xml:space="preserve">8.4 Quarterly Revenue &amp; EBITDA</w:t>
      </w:r>
    </w:p>
    <w:p>
      <w:pPr>
        <w:spacing w:after="60" w:before="60"/>
        <w:jc w:val="left"/>
      </w:pPr>
      <w:r>
        <w:rPr>
          <w:rFonts w:ascii="Calibri" w:cs="Calibri" w:eastAsia="Calibri" w:hAnsi="Calibri"/>
          <w:b w:val="false"/>
          <w:bCs w:val="false"/>
          <w:i w:val="false"/>
          <w:iCs w:val="false"/>
          <w:color w:val="1A1A1A"/>
          <w:sz w:val="22"/>
          <w:szCs w:val="22"/>
        </w:rPr>
        <w:t xml:space="preserve">Quarterly view illustrating the inflection to profitability in mid-FY2024: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Quarter</w:t>
            </w:r>
          </w:p>
        </w:tc>
        <w:tc>
          <w:tcPr>
            <w:tcW w:type="dxa" w:w="24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Revenue ($K)</w:t>
            </w:r>
          </w:p>
        </w:tc>
        <w:tc>
          <w:tcPr>
            <w:tcW w:type="dxa" w:w="24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EBITDA ($K)</w:t>
            </w:r>
          </w:p>
        </w:tc>
        <w:tc>
          <w:tcPr>
            <w:tcW w:type="dxa" w:w="236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EBITDA %</w:t>
            </w:r>
          </w:p>
        </w:tc>
      </w:tr>
      <w:tr>
        <w:tc>
          <w:tcPr>
            <w:tcW w:type="dxa" w:w="2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Q1 FY2023</w:t>
            </w:r>
          </w:p>
        </w:tc>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2,580</w:t>
            </w:r>
          </w:p>
        </w:tc>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(186)</w:t>
            </w:r>
          </w:p>
        </w:tc>
        <w:tc>
          <w:tcPr>
            <w:tcW w:type="dxa" w:w="2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(7.2%)</w:t>
            </w:r>
          </w:p>
        </w:tc>
      </w:tr>
      <w:tr>
        <w:tc>
          <w:tcPr>
            <w:tcW w:type="dxa" w:w="2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Q2 FY2023</w:t>
            </w:r>
          </w:p>
        </w:tc>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2,980</w:t>
            </w:r>
          </w:p>
        </w:tc>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(102)</w:t>
            </w:r>
          </w:p>
        </w:tc>
        <w:tc>
          <w:tcPr>
            <w:tcW w:type="dxa" w:w="23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(3.4%)</w:t>
            </w:r>
          </w:p>
        </w:tc>
      </w:tr>
      <w:tr>
        <w:tc>
          <w:tcPr>
            <w:tcW w:type="dxa" w:w="2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Q3 FY2023</w:t>
            </w:r>
          </w:p>
        </w:tc>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3,420</w:t>
            </w:r>
          </w:p>
        </w:tc>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(54)</w:t>
            </w:r>
          </w:p>
        </w:tc>
        <w:tc>
          <w:tcPr>
            <w:tcW w:type="dxa" w:w="2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w:t>
            </w:r>
          </w:p>
        </w:tc>
      </w:tr>
      <w:tr>
        <w:tc>
          <w:tcPr>
            <w:tcW w:type="dxa" w:w="2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Q4 FY2023</w:t>
            </w:r>
          </w:p>
        </w:tc>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3,620</w:t>
            </w:r>
          </w:p>
        </w:tc>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w:t>
            </w:r>
          </w:p>
        </w:tc>
        <w:tc>
          <w:tcPr>
            <w:tcW w:type="dxa" w:w="23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(0.3%)</w:t>
            </w:r>
          </w:p>
        </w:tc>
      </w:tr>
      <w:tr>
        <w:tc>
          <w:tcPr>
            <w:tcW w:type="dxa" w:w="2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Q1 FY2024</w:t>
            </w:r>
          </w:p>
        </w:tc>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4,820</w:t>
            </w:r>
          </w:p>
        </w:tc>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180</w:t>
            </w:r>
          </w:p>
        </w:tc>
        <w:tc>
          <w:tcPr>
            <w:tcW w:type="dxa" w:w="2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3.7%</w:t>
            </w:r>
          </w:p>
        </w:tc>
      </w:tr>
      <w:tr>
        <w:tc>
          <w:tcPr>
            <w:tcW w:type="dxa" w:w="2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Q2 FY2024</w:t>
            </w:r>
          </w:p>
        </w:tc>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5,240</w:t>
            </w:r>
          </w:p>
        </w:tc>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284</w:t>
            </w:r>
          </w:p>
        </w:tc>
        <w:tc>
          <w:tcPr>
            <w:tcW w:type="dxa" w:w="23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5.4%</w:t>
            </w:r>
          </w:p>
        </w:tc>
      </w:tr>
      <w:tr>
        <w:tc>
          <w:tcPr>
            <w:tcW w:type="dxa" w:w="2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Q3 FY2024</w:t>
            </w:r>
          </w:p>
        </w:tc>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5,680</w:t>
            </w:r>
          </w:p>
        </w:tc>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384</w:t>
            </w:r>
          </w:p>
        </w:tc>
        <w:tc>
          <w:tcPr>
            <w:tcW w:type="dxa" w:w="2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6.8%</w:t>
            </w:r>
          </w:p>
        </w:tc>
      </w:tr>
      <w:tr>
        <w:tc>
          <w:tcPr>
            <w:tcW w:type="dxa" w:w="2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Q4 FY2024</w:t>
            </w:r>
          </w:p>
        </w:tc>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5,980</w:t>
            </w:r>
          </w:p>
        </w:tc>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472</w:t>
            </w:r>
          </w:p>
        </w:tc>
        <w:tc>
          <w:tcPr>
            <w:tcW w:type="dxa" w:w="23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7.9%</w:t>
            </w:r>
          </w:p>
        </w:tc>
      </w:tr>
      <w:tr>
        <w:tc>
          <w:tcPr>
            <w:tcW w:type="dxa" w:w="2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Q1 FY2025</w:t>
            </w:r>
          </w:p>
        </w:tc>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6,840</w:t>
            </w:r>
          </w:p>
        </w:tc>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780</w:t>
            </w:r>
          </w:p>
        </w:tc>
        <w:tc>
          <w:tcPr>
            <w:tcW w:type="dxa" w:w="2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11.4%</w:t>
            </w:r>
          </w:p>
        </w:tc>
      </w:tr>
      <w:tr>
        <w:tc>
          <w:tcPr>
            <w:tcW w:type="dxa" w:w="2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Q2 FY2025</w:t>
            </w:r>
          </w:p>
        </w:tc>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7,420</w:t>
            </w:r>
          </w:p>
        </w:tc>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920</w:t>
            </w:r>
          </w:p>
        </w:tc>
        <w:tc>
          <w:tcPr>
            <w:tcW w:type="dxa" w:w="23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12.4%</w:t>
            </w:r>
          </w:p>
        </w:tc>
      </w:tr>
      <w:tr>
        <w:tc>
          <w:tcPr>
            <w:tcW w:type="dxa" w:w="2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Q3 FY2025</w:t>
            </w:r>
          </w:p>
        </w:tc>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8,180</w:t>
            </w:r>
          </w:p>
        </w:tc>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1,140</w:t>
            </w:r>
          </w:p>
        </w:tc>
        <w:tc>
          <w:tcPr>
            <w:tcW w:type="dxa" w:w="2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13.9%</w:t>
            </w:r>
          </w:p>
        </w:tc>
      </w:tr>
      <w:tr>
        <w:tc>
          <w:tcPr>
            <w:tcW w:type="dxa" w:w="2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Q4 FY2025E</w:t>
            </w:r>
          </w:p>
        </w:tc>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8,600</w:t>
            </w:r>
          </w:p>
        </w:tc>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1,260</w:t>
            </w:r>
          </w:p>
        </w:tc>
        <w:tc>
          <w:tcPr>
            <w:tcW w:type="dxa" w:w="23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14.7%</w:t>
            </w:r>
          </w:p>
        </w:tc>
      </w:tr>
    </w:tbl>
    <w:p>
      <w:pPr>
        <w:pStyle w:val="Heading1"/>
        <w:pageBreakBefore/>
        <w:pBdr>
          <w:bottom w:val="single" w:color="1F4E79" w:sz="8" w:space="4"/>
        </w:pBdr>
        <w:spacing w:after="180" w:before="240"/>
      </w:pPr>
      <w:r>
        <w:rPr>
          <w:rFonts w:ascii="Calibri" w:cs="Calibri" w:eastAsia="Calibri" w:hAnsi="Calibri"/>
          <w:b/>
          <w:bCs/>
          <w:color w:val="0B2545"/>
          <w:sz w:val="36"/>
          <w:szCs w:val="36"/>
        </w:rPr>
        <w:t xml:space="preserve">9. Financial Projections</w:t>
      </w:r>
    </w:p>
    <w:p>
      <w:pPr>
        <w:spacing w:after="60" w:before="60"/>
        <w:jc w:val="left"/>
      </w:pPr>
      <w:r>
        <w:rPr>
          <w:rFonts w:ascii="Calibri" w:cs="Calibri" w:eastAsia="Calibri" w:hAnsi="Calibri"/>
          <w:b w:val="false"/>
          <w:bCs w:val="false"/>
          <w:i/>
          <w:iCs/>
          <w:color w:val="555555"/>
          <w:sz w:val="22"/>
          <w:szCs w:val="22"/>
        </w:rPr>
        <w:t xml:space="preserve">Projections reflect management's base case assuming successful completion of the contemplated transaction with $40M of primary capital. Figures in USD thousands.</w:t>
      </w:r>
    </w:p>
    <w:p>
      <w:pPr>
        <w:pStyle w:val="Heading3"/>
        <w:spacing w:after="80" w:before="160"/>
      </w:pPr>
      <w:r>
        <w:rPr>
          <w:rFonts w:ascii="Calibri" w:cs="Calibri" w:eastAsia="Calibri" w:hAnsi="Calibri"/>
          <w:b/>
          <w:bCs/>
          <w:color w:val="1A1A1A"/>
          <w:sz w:val="24"/>
          <w:szCs w:val="24"/>
        </w:rPr>
        <w:t xml:space="preserve">9.1 Projected Income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15"/>
        <w:gridCol w:w="1515"/>
        <w:gridCol w:w="1515"/>
        <w:gridCol w:w="1515"/>
      </w:tblGrid>
      <w:tr>
        <w:trPr>
          <w:tblHeader/>
        </w:trPr>
        <w:tc>
          <w:tcPr>
            <w:tcW w:type="dxa" w:w="33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 thousands</w:t>
            </w:r>
          </w:p>
        </w:tc>
        <w:tc>
          <w:tcPr>
            <w:tcW w:type="dxa" w:w="1515"/>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FY2024A</w:t>
            </w:r>
          </w:p>
        </w:tc>
        <w:tc>
          <w:tcPr>
            <w:tcW w:type="dxa" w:w="1515"/>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FY2025E</w:t>
            </w:r>
          </w:p>
        </w:tc>
        <w:tc>
          <w:tcPr>
            <w:tcW w:type="dxa" w:w="1515"/>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FY2026P</w:t>
            </w:r>
          </w:p>
        </w:tc>
        <w:tc>
          <w:tcPr>
            <w:tcW w:type="dxa" w:w="1515"/>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FY2027P</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Subscription Revenue</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19,860</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28,400</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39,200</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52,800</w:t>
            </w:r>
          </w:p>
        </w:tc>
      </w:tr>
      <w:tr>
        <w:tc>
          <w:tcPr>
            <w:tcW w:type="dxa" w:w="3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Professional Services</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1,480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2,100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2,780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3,520</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Other</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380</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540</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720</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920</w:t>
            </w:r>
          </w:p>
        </w:tc>
      </w:tr>
      <w:tr>
        <w:tc>
          <w:tcPr>
            <w:tcW w:type="dxa" w:w="3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bCs/>
                <w:i w:val="false"/>
                <w:iCs w:val="false"/>
                <w:color w:val="1A1A1A"/>
                <w:sz w:val="20"/>
                <w:szCs w:val="20"/>
              </w:rPr>
              <w:t xml:space="preserve">Total Revenue</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21,720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31,040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42,700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57,240</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YoY Growth %</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72.4%</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42.9%</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37.6%</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34.1%</w:t>
            </w:r>
          </w:p>
        </w:tc>
      </w:tr>
      <w:tr>
        <w:tc>
          <w:tcPr>
            <w:tcW w:type="dxa" w:w="3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Total Cost of Revenue</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(4,740)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(6,540)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(8,650)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(11,080)</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bCs/>
                <w:i w:val="false"/>
                <w:iCs w:val="false"/>
                <w:color w:val="1A1A1A"/>
                <w:sz w:val="20"/>
                <w:szCs w:val="20"/>
              </w:rPr>
              <w:t xml:space="preserve">Gross Profit</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16,980</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24,500</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34,050</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46,160</w:t>
            </w:r>
          </w:p>
        </w:tc>
      </w:tr>
      <w:tr>
        <w:tc>
          <w:tcPr>
            <w:tcW w:type="dxa" w:w="3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Gross Margin %</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78.2%</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78.9%</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79.7%</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80.6%</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Sales &amp; Marketing</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(9,240)</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(11,800)</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(14,600)</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(17,800)</w:t>
            </w:r>
          </w:p>
        </w:tc>
      </w:tr>
      <w:tr>
        <w:tc>
          <w:tcPr>
            <w:tcW w:type="dxa" w:w="3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Research &amp; Development</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(4,620)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(6,240)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(8,200)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(10,400)</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General &amp; Administrative</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(2,480)</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(3,280)</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(4,180)</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(5,120)</w:t>
            </w:r>
          </w:p>
        </w:tc>
      </w:tr>
      <w:tr>
        <w:tc>
          <w:tcPr>
            <w:tcW w:type="dxa" w:w="3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bCs/>
                <w:i w:val="false"/>
                <w:iCs w:val="false"/>
                <w:color w:val="1A1A1A"/>
                <w:sz w:val="20"/>
                <w:szCs w:val="20"/>
              </w:rPr>
              <w:t xml:space="preserve">Total OpEx</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(16,340)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(21,320)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(26,980)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(33,320)</w:t>
            </w:r>
          </w:p>
        </w:tc>
      </w:tr>
      <w:tr>
        <w:tc>
          <w:tcPr>
            <w:tcW w:type="dxa" w:w="3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Operating Income</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640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3,180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7,070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12,840</w:t>
            </w:r>
          </w:p>
        </w:tc>
      </w:tr>
      <w:tr>
        <w:tc>
          <w:tcPr>
            <w:tcW w:type="dxa" w:w="3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Add: D&amp;A</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680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920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1,240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1,620</w:t>
            </w:r>
          </w:p>
        </w:tc>
      </w:tr>
      <w:tr>
        <w:tc>
          <w:tcPr>
            <w:tcW w:type="dxa" w:w="3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EBITDA</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1,320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4,100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8,310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14,460</w:t>
            </w:r>
          </w:p>
        </w:tc>
      </w:tr>
      <w:tr>
        <w:tc>
          <w:tcPr>
            <w:tcW w:type="dxa" w:w="3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EBITDA Margin %</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6.1%</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13.2%</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19.5%</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25.3%</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Interest expense, net</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(124)</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(180)</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(240)</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(320)</w:t>
            </w:r>
          </w:p>
        </w:tc>
      </w:tr>
      <w:tr>
        <w:tc>
          <w:tcPr>
            <w:tcW w:type="dxa" w:w="3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Pre-tax income</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516</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3,000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6,830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12,520</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Tax expense (21%)</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(108)</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(630)</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(1,434)</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(2,629)</w:t>
            </w:r>
          </w:p>
        </w:tc>
      </w:tr>
      <w:tr>
        <w:tc>
          <w:tcPr>
            <w:tcW w:type="dxa" w:w="33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Net Income</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408</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2,370</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5,396</w:t>
            </w:r>
          </w:p>
        </w:tc>
        <w:tc>
          <w:tcPr>
            <w:tcW w:type="dxa" w:w="15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9,891</w:t>
            </w:r>
          </w:p>
        </w:tc>
      </w:tr>
    </w:tbl>
    <w:p>
      <w:pPr>
        <w:pStyle w:val="Heading3"/>
        <w:spacing w:after="80" w:before="160"/>
      </w:pPr>
      <w:r>
        <w:rPr>
          <w:rFonts w:ascii="Calibri" w:cs="Calibri" w:eastAsia="Calibri" w:hAnsi="Calibri"/>
          <w:b/>
          <w:bCs/>
          <w:color w:val="1A1A1A"/>
          <w:sz w:val="24"/>
          <w:szCs w:val="24"/>
        </w:rPr>
        <w:t xml:space="preserve">9.2 Operating KPI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415"/>
        <w:gridCol w:w="1415"/>
        <w:gridCol w:w="1415"/>
        <w:gridCol w:w="1415"/>
      </w:tblGrid>
      <w:tr>
        <w:trPr>
          <w:tblHeader/>
        </w:trPr>
        <w:tc>
          <w:tcPr>
            <w:tcW w:type="dxa" w:w="37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Metric</w:t>
            </w:r>
          </w:p>
        </w:tc>
        <w:tc>
          <w:tcPr>
            <w:tcW w:type="dxa" w:w="1415"/>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FY24A</w:t>
            </w:r>
          </w:p>
        </w:tc>
        <w:tc>
          <w:tcPr>
            <w:tcW w:type="dxa" w:w="1415"/>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FY25E</w:t>
            </w:r>
          </w:p>
        </w:tc>
        <w:tc>
          <w:tcPr>
            <w:tcW w:type="dxa" w:w="1415"/>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FY26P</w:t>
            </w:r>
          </w:p>
        </w:tc>
        <w:tc>
          <w:tcPr>
            <w:tcW w:type="dxa" w:w="1415"/>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FY27P</w:t>
            </w:r>
          </w:p>
        </w:tc>
      </w:tr>
      <w:tr>
        <w:tc>
          <w:tcPr>
            <w:tcW w:type="dxa" w:w="3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Logos (period end)</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592</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762</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960</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1,180</w:t>
            </w:r>
          </w:p>
        </w:tc>
      </w:tr>
      <w:tr>
        <w:tc>
          <w:tcPr>
            <w:tcW w:type="dxa" w:w="3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Net new logos</w:t>
            </w:r>
          </w:p>
        </w:tc>
        <w:tc>
          <w:tcPr>
            <w:tcW w:type="dxa" w:w="14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184</w:t>
            </w:r>
          </w:p>
        </w:tc>
        <w:tc>
          <w:tcPr>
            <w:tcW w:type="dxa" w:w="14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170</w:t>
            </w:r>
          </w:p>
        </w:tc>
        <w:tc>
          <w:tcPr>
            <w:tcW w:type="dxa" w:w="14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198</w:t>
            </w:r>
          </w:p>
        </w:tc>
        <w:tc>
          <w:tcPr>
            <w:tcW w:type="dxa" w:w="14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220</w:t>
            </w:r>
          </w:p>
        </w:tc>
      </w:tr>
      <w:tr>
        <w:tc>
          <w:tcPr>
            <w:tcW w:type="dxa" w:w="3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End-of-period ARR ($K)</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31,800</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42,400</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58,000</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78,400</w:t>
            </w:r>
          </w:p>
        </w:tc>
      </w:tr>
      <w:tr>
        <w:tc>
          <w:tcPr>
            <w:tcW w:type="dxa" w:w="3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Net Dollar Retention %</w:t>
            </w:r>
          </w:p>
        </w:tc>
        <w:tc>
          <w:tcPr>
            <w:tcW w:type="dxa" w:w="14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131%</w:t>
            </w:r>
          </w:p>
        </w:tc>
        <w:tc>
          <w:tcPr>
            <w:tcW w:type="dxa" w:w="14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128%</w:t>
            </w:r>
          </w:p>
        </w:tc>
        <w:tc>
          <w:tcPr>
            <w:tcW w:type="dxa" w:w="14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126%</w:t>
            </w:r>
          </w:p>
        </w:tc>
        <w:tc>
          <w:tcPr>
            <w:tcW w:type="dxa" w:w="14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125%</w:t>
            </w:r>
          </w:p>
        </w:tc>
      </w:tr>
      <w:tr>
        <w:tc>
          <w:tcPr>
            <w:tcW w:type="dxa" w:w="3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Avg ACV ($K)</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53.7</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55.6</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60.4</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66.4</w:t>
            </w:r>
          </w:p>
        </w:tc>
      </w:tr>
      <w:tr>
        <w:tc>
          <w:tcPr>
            <w:tcW w:type="dxa" w:w="3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Quota-carrying AEs (EoP)</w:t>
            </w:r>
          </w:p>
        </w:tc>
        <w:tc>
          <w:tcPr>
            <w:tcW w:type="dxa" w:w="14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w:t>
            </w:r>
          </w:p>
        </w:tc>
        <w:tc>
          <w:tcPr>
            <w:tcW w:type="dxa" w:w="14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w:t>
            </w:r>
          </w:p>
        </w:tc>
        <w:tc>
          <w:tcPr>
            <w:tcW w:type="dxa" w:w="14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48</w:t>
            </w:r>
          </w:p>
        </w:tc>
        <w:tc>
          <w:tcPr>
            <w:tcW w:type="dxa" w:w="14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58</w:t>
            </w:r>
          </w:p>
        </w:tc>
      </w:tr>
      <w:tr>
        <w:tc>
          <w:tcPr>
            <w:tcW w:type="dxa" w:w="3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Headcount (EoP)</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168</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224</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286</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352</w:t>
            </w:r>
          </w:p>
        </w:tc>
      </w:tr>
      <w:tr>
        <w:tc>
          <w:tcPr>
            <w:tcW w:type="dxa" w:w="3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Revenue per FTE ($K)</w:t>
            </w:r>
          </w:p>
        </w:tc>
        <w:tc>
          <w:tcPr>
            <w:tcW w:type="dxa" w:w="14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129</w:t>
            </w:r>
          </w:p>
        </w:tc>
        <w:tc>
          <w:tcPr>
            <w:tcW w:type="dxa" w:w="14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139</w:t>
            </w:r>
          </w:p>
        </w:tc>
        <w:tc>
          <w:tcPr>
            <w:tcW w:type="dxa" w:w="14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149</w:t>
            </w:r>
          </w:p>
        </w:tc>
        <w:tc>
          <w:tcPr>
            <w:tcW w:type="dxa" w:w="1415"/>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163</w:t>
            </w:r>
          </w:p>
        </w:tc>
      </w:tr>
    </w:tbl>
    <w:p>
      <w:pPr>
        <w:pStyle w:val="Heading3"/>
        <w:spacing w:after="80" w:before="160"/>
      </w:pPr>
      <w:r>
        <w:rPr>
          <w:rFonts w:ascii="Calibri" w:cs="Calibri" w:eastAsia="Calibri" w:hAnsi="Calibri"/>
          <w:b/>
          <w:bCs/>
          <w:color w:val="1A1A1A"/>
          <w:sz w:val="24"/>
          <w:szCs w:val="24"/>
        </w:rPr>
        <w:t xml:space="preserve">9.3 Key Projection Assumptions</w:t>
      </w:r>
    </w:p>
    <w:p>
      <w:pPr>
        <w:pStyle w:val="ListParagraph"/>
        <w:numPr>
          <w:ilvl w:val="0"/>
          <w:numId w:val="2"/>
        </w:numPr>
        <w:spacing w:after="40" w:before="40"/>
      </w:pPr>
      <w:r>
        <w:rPr>
          <w:rFonts w:ascii="Calibri" w:cs="Calibri" w:eastAsia="Calibri" w:hAnsi="Calibri"/>
          <w:color w:val="1A1A1A"/>
          <w:sz w:val="22"/>
          <w:szCs w:val="22"/>
        </w:rPr>
        <w:t xml:space="preserve">Net new logo additions accelerate from 170 in FY2025E to 220 in FY2027P, driven by enterprise sales team buildout and product-led growth contribution.</w:t>
      </w:r>
    </w:p>
    <w:p>
      <w:pPr>
        <w:pStyle w:val="ListParagraph"/>
        <w:numPr>
          <w:ilvl w:val="0"/>
          <w:numId w:val="2"/>
        </w:numPr>
        <w:spacing w:after="40" w:before="40"/>
      </w:pPr>
      <w:r>
        <w:rPr>
          <w:rFonts w:ascii="Calibri" w:cs="Calibri" w:eastAsia="Calibri" w:hAnsi="Calibri"/>
          <w:color w:val="1A1A1A"/>
          <w:sz w:val="22"/>
          <w:szCs w:val="22"/>
        </w:rPr>
        <w:t xml:space="preserve">Net Dollar Retention moderates from 131% (FY2024A) to 125% (FY2027P) as the customer base scales and the law of large numbers compresses expansion percentages.</w:t>
      </w:r>
    </w:p>
    <w:p>
      <w:pPr>
        <w:pStyle w:val="ListParagraph"/>
        <w:numPr>
          <w:ilvl w:val="0"/>
          <w:numId w:val="2"/>
        </w:numPr>
        <w:spacing w:after="40" w:before="40"/>
      </w:pPr>
      <w:r>
        <w:rPr>
          <w:rFonts w:ascii="Calibri" w:cs="Calibri" w:eastAsia="Calibri" w:hAnsi="Calibri"/>
          <w:color w:val="1A1A1A"/>
          <w:sz w:val="22"/>
          <w:szCs w:val="22"/>
        </w:rPr>
        <w:t xml:space="preserve">Gross margin expands by 240 bps over the projection period through (i) hosting leverage as workflow throughput per dollar of infrastructure improves; (ii) automation of tier-1 support; and (iii) faster implementations as the product matures.</w:t>
      </w:r>
    </w:p>
    <w:p>
      <w:pPr>
        <w:pStyle w:val="ListParagraph"/>
        <w:numPr>
          <w:ilvl w:val="0"/>
          <w:numId w:val="2"/>
        </w:numPr>
        <w:spacing w:after="40" w:before="40"/>
      </w:pPr>
      <w:r>
        <w:rPr>
          <w:rFonts w:ascii="Calibri" w:cs="Calibri" w:eastAsia="Calibri" w:hAnsi="Calibri"/>
          <w:color w:val="1A1A1A"/>
          <w:sz w:val="22"/>
          <w:szCs w:val="22"/>
        </w:rPr>
        <w:t xml:space="preserve">S&amp;M intensity declines from 42.5% of revenue (FY24) to 31.1% (FY27) as efficiency improves; absolute spend continues to grow at 24% CAGR.</w:t>
      </w:r>
    </w:p>
    <w:p>
      <w:pPr>
        <w:pStyle w:val="ListParagraph"/>
        <w:numPr>
          <w:ilvl w:val="0"/>
          <w:numId w:val="2"/>
        </w:numPr>
        <w:spacing w:after="40" w:before="40"/>
      </w:pPr>
      <w:r>
        <w:rPr>
          <w:rFonts w:ascii="Calibri" w:cs="Calibri" w:eastAsia="Calibri" w:hAnsi="Calibri"/>
          <w:color w:val="1A1A1A"/>
          <w:sz w:val="22"/>
          <w:szCs w:val="22"/>
        </w:rPr>
        <w:t xml:space="preserve">R&amp;D maintained at approximately 18–20% of revenue across the period; absolute spend grows at 31% CAGR to support AI capabilities and platform investment.</w:t>
      </w:r>
    </w:p>
    <w:p>
      <w:pPr>
        <w:pStyle w:val="ListParagraph"/>
        <w:numPr>
          <w:ilvl w:val="0"/>
          <w:numId w:val="2"/>
        </w:numPr>
        <w:spacing w:after="40" w:before="40"/>
      </w:pPr>
      <w:r>
        <w:rPr>
          <w:rFonts w:ascii="Calibri" w:cs="Calibri" w:eastAsia="Calibri" w:hAnsi="Calibri"/>
          <w:color w:val="1A1A1A"/>
          <w:sz w:val="22"/>
          <w:szCs w:val="22"/>
        </w:rPr>
        <w:t xml:space="preserve">No additional primary equity capital is assumed beyond the contemplated transaction; the Company is projected to be free-cash-flow positive on a steady-state basis from FY2026P.</w:t>
      </w:r>
    </w:p>
    <w:p>
      <w:pPr>
        <w:pStyle w:val="Heading1"/>
        <w:pageBreakBefore/>
        <w:pBdr>
          <w:bottom w:val="single" w:color="1F4E79" w:sz="8" w:space="4"/>
        </w:pBdr>
        <w:spacing w:after="180" w:before="240"/>
      </w:pPr>
      <w:r>
        <w:rPr>
          <w:rFonts w:ascii="Calibri" w:cs="Calibri" w:eastAsia="Calibri" w:hAnsi="Calibri"/>
          <w:b/>
          <w:bCs/>
          <w:color w:val="0B2545"/>
          <w:sz w:val="36"/>
          <w:szCs w:val="36"/>
        </w:rPr>
        <w:t xml:space="preserve">10. Management Team</w:t>
      </w:r>
    </w:p>
    <w:p>
      <w:pPr>
        <w:pStyle w:val="Heading3"/>
        <w:spacing w:after="80" w:before="160"/>
      </w:pPr>
      <w:r>
        <w:rPr>
          <w:rFonts w:ascii="Calibri" w:cs="Calibri" w:eastAsia="Calibri" w:hAnsi="Calibri"/>
          <w:b/>
          <w:bCs/>
          <w:color w:val="1A1A1A"/>
          <w:sz w:val="24"/>
          <w:szCs w:val="24"/>
        </w:rPr>
        <w:t xml:space="preserve">10.1 Founders</w:t>
      </w:r>
    </w:p>
    <w:p>
      <w:pPr>
        <w:spacing w:after="60" w:before="60"/>
        <w:jc w:val="left"/>
      </w:pPr>
      <w:r>
        <w:rPr>
          <w:rFonts w:ascii="Calibri" w:cs="Calibri" w:eastAsia="Calibri" w:hAnsi="Calibri"/>
          <w:b/>
          <w:bCs/>
          <w:i w:val="false"/>
          <w:iCs w:val="false"/>
          <w:color w:val="1A1A1A"/>
          <w:sz w:val="22"/>
          <w:szCs w:val="22"/>
        </w:rPr>
        <w:t xml:space="preserve">Marcus Chen, Co-Founder &amp; Chief Executive Officer. </w:t>
      </w:r>
      <w:r>
        <w:rPr>
          <w:rFonts w:ascii="Calibri" w:cs="Calibri" w:eastAsia="Calibri" w:hAnsi="Calibri"/>
          <w:b w:val="false"/>
          <w:bCs w:val="false"/>
          <w:i w:val="false"/>
          <w:iCs w:val="false"/>
          <w:color w:val="1A1A1A"/>
          <w:sz w:val="22"/>
          <w:szCs w:val="22"/>
        </w:rPr>
        <w:t xml:space="preserve">Marcus has led ZenithOps since inception and is responsible for strategy, fundraising, and go-to-market. Prior to founding the Company, he spent six years at a public iPaaS company in product roles spanning workflow design and connector strategy. Earlier in his career he worked in technology investment banking. He holds a Bachelor's degree in Computer Science from Carnegie Mellon University and an MBA from Stanford Graduate School of Business.</w:t>
      </w:r>
    </w:p>
    <w:p>
      <w:pPr>
        <w:spacing w:after="60" w:before="60"/>
        <w:jc w:val="left"/>
      </w:pPr>
      <w:r>
        <w:rPr>
          <w:rFonts w:ascii="Calibri" w:cs="Calibri" w:eastAsia="Calibri" w:hAnsi="Calibri"/>
          <w:b/>
          <w:bCs/>
          <w:i w:val="false"/>
          <w:iCs w:val="false"/>
          <w:color w:val="1A1A1A"/>
          <w:sz w:val="22"/>
          <w:szCs w:val="22"/>
        </w:rPr>
        <w:t xml:space="preserve">Priya Venkataraman, Co-Founder &amp; Chief Technology Officer. </w:t>
      </w:r>
      <w:r>
        <w:rPr>
          <w:rFonts w:ascii="Calibri" w:cs="Calibri" w:eastAsia="Calibri" w:hAnsi="Calibri"/>
          <w:b w:val="false"/>
          <w:bCs w:val="false"/>
          <w:i w:val="false"/>
          <w:iCs w:val="false"/>
          <w:color w:val="1A1A1A"/>
          <w:sz w:val="22"/>
          <w:szCs w:val="22"/>
        </w:rPr>
        <w:t xml:space="preserve">Priya leads engineering, infrastructure, and AI capabilities. She spent eight years at a major hyperscaler as a principal engineer working on distributed systems and event-driven architecture. She holds a Bachelor's degree in Computer Science from IIT Madras and a Master's from MIT.</w:t>
      </w:r>
    </w:p>
    <w:p>
      <w:pPr>
        <w:pStyle w:val="Heading3"/>
        <w:spacing w:after="80" w:before="160"/>
      </w:pPr>
      <w:r>
        <w:rPr>
          <w:rFonts w:ascii="Calibri" w:cs="Calibri" w:eastAsia="Calibri" w:hAnsi="Calibri"/>
          <w:b/>
          <w:bCs/>
          <w:color w:val="1A1A1A"/>
          <w:sz w:val="24"/>
          <w:szCs w:val="24"/>
        </w:rPr>
        <w:t xml:space="preserve">10.2 Senior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100"/>
        <w:gridCol w:w="4160"/>
      </w:tblGrid>
      <w:tr>
        <w:trPr>
          <w:tblHeader/>
        </w:trPr>
        <w:tc>
          <w:tcPr>
            <w:tcW w:type="dxa" w:w="19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Name</w:t>
            </w:r>
          </w:p>
        </w:tc>
        <w:tc>
          <w:tcPr>
            <w:tcW w:type="dxa" w:w="22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Role</w:t>
            </w:r>
          </w:p>
        </w:tc>
        <w:tc>
          <w:tcPr>
            <w:tcW w:type="dxa" w:w="11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Tenure</w:t>
            </w:r>
          </w:p>
        </w:tc>
        <w:tc>
          <w:tcPr>
            <w:tcW w:type="dxa" w:w="416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Prior Experience</w:t>
            </w:r>
          </w:p>
        </w:tc>
      </w:tr>
      <w:tr>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David Park</w:t>
            </w:r>
          </w:p>
        </w:tc>
        <w:tc>
          <w:tcPr>
            <w:tcW w:type="dxa" w:w="2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Chief Financial Officer</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 yrs</w:t>
            </w:r>
          </w:p>
        </w:tc>
        <w:tc>
          <w:tcPr>
            <w:tcW w:type="dxa" w:w="4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Public SaaS CFO; investment banking (TMT)</w:t>
            </w:r>
          </w:p>
        </w:tc>
      </w:tr>
      <w:tr>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Sofia Rodriguez</w:t>
            </w:r>
          </w:p>
        </w:tc>
        <w:tc>
          <w:tcPr>
            <w:tcW w:type="dxa" w:w="2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Chief Revenue Officer</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 yrs</w:t>
            </w:r>
          </w:p>
        </w:tc>
        <w:tc>
          <w:tcPr>
            <w:tcW w:type="dxa" w:w="41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VP Sales at scaled iPaaS competitor; enterprise SaaS sales leadership</w:t>
            </w:r>
          </w:p>
        </w:tc>
      </w:tr>
      <w:tr>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Liam O'Connell</w:t>
            </w:r>
          </w:p>
        </w:tc>
        <w:tc>
          <w:tcPr>
            <w:tcW w:type="dxa" w:w="2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VP Product</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 yrs</w:t>
            </w:r>
          </w:p>
        </w:tc>
        <w:tc>
          <w:tcPr>
            <w:tcW w:type="dxa" w:w="4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Senior PM at workflow-adjacent SaaS company</w:t>
            </w:r>
          </w:p>
        </w:tc>
      </w:tr>
      <w:tr>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Hiroshi Tanaka</w:t>
            </w:r>
          </w:p>
        </w:tc>
        <w:tc>
          <w:tcPr>
            <w:tcW w:type="dxa" w:w="2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VP Engineering</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 yrs</w:t>
            </w:r>
          </w:p>
        </w:tc>
        <w:tc>
          <w:tcPr>
            <w:tcW w:type="dxa" w:w="41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Engineering director at hyperscaler; distributed systems</w:t>
            </w:r>
          </w:p>
        </w:tc>
      </w:tr>
      <w:tr>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Aisha Patel</w:t>
            </w:r>
          </w:p>
        </w:tc>
        <w:tc>
          <w:tcPr>
            <w:tcW w:type="dxa" w:w="2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VP Customer Success</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 yrs</w:t>
            </w:r>
          </w:p>
        </w:tc>
        <w:tc>
          <w:tcPr>
            <w:tcW w:type="dxa" w:w="4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CS leadership at vertical SaaS scaling from $20M to $150M ARR</w:t>
            </w:r>
          </w:p>
        </w:tc>
      </w:tr>
      <w:tr>
        <w:tc>
          <w:tcPr>
            <w:tcW w:type="dxa" w:w="19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Ben Mueller</w:t>
            </w:r>
          </w:p>
        </w:tc>
        <w:tc>
          <w:tcPr>
            <w:tcW w:type="dxa" w:w="22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VP Marketing</w:t>
            </w:r>
          </w:p>
        </w:tc>
        <w:tc>
          <w:tcPr>
            <w:tcW w:type="dxa" w:w="11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 yrs</w:t>
            </w:r>
          </w:p>
        </w:tc>
        <w:tc>
          <w:tcPr>
            <w:tcW w:type="dxa" w:w="41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B2B SaaS marketing; ABM and demand generation specialist</w:t>
            </w:r>
          </w:p>
        </w:tc>
      </w:tr>
      <w:tr>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Emma Lindqvist</w:t>
            </w:r>
          </w:p>
        </w:tc>
        <w:tc>
          <w:tcPr>
            <w:tcW w:type="dxa" w:w="2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GM, EMEA</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 yrs</w:t>
            </w:r>
          </w:p>
        </w:tc>
        <w:tc>
          <w:tcPr>
            <w:tcW w:type="dxa" w:w="4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Built EMEA business at Series B SaaS company</w:t>
            </w:r>
          </w:p>
        </w:tc>
      </w:tr>
    </w:tbl>
    <w:p>
      <w:pPr>
        <w:pStyle w:val="Heading3"/>
        <w:spacing w:after="80" w:before="160"/>
      </w:pPr>
      <w:r>
        <w:rPr>
          <w:rFonts w:ascii="Calibri" w:cs="Calibri" w:eastAsia="Calibri" w:hAnsi="Calibri"/>
          <w:b/>
          <w:bCs/>
          <w:color w:val="1A1A1A"/>
          <w:sz w:val="24"/>
          <w:szCs w:val="24"/>
        </w:rPr>
        <w:t xml:space="preserve">10.3 Headcount</w:t>
      </w:r>
    </w:p>
    <w:p>
      <w:pPr>
        <w:spacing w:after="60" w:before="60"/>
        <w:jc w:val="left"/>
      </w:pPr>
      <w:r>
        <w:rPr>
          <w:rFonts w:ascii="Calibri" w:cs="Calibri" w:eastAsia="Calibri" w:hAnsi="Calibri"/>
          <w:b w:val="false"/>
          <w:bCs w:val="false"/>
          <w:i w:val="false"/>
          <w:iCs w:val="false"/>
          <w:color w:val="1A1A1A"/>
          <w:sz w:val="22"/>
          <w:szCs w:val="22"/>
        </w:rPr>
        <w:t xml:space="preserve">ZenithOps employs 224 full-time staff as of January 2026, distributed as follows: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160"/>
      </w:tblGrid>
      <w:tr>
        <w:trPr>
          <w:tblHeader/>
        </w:trPr>
        <w:tc>
          <w:tcPr>
            <w:tcW w:type="dxa" w:w="44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Function</w:t>
            </w:r>
          </w:p>
        </w:tc>
        <w:tc>
          <w:tcPr>
            <w:tcW w:type="dxa" w:w="24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Headcount</w:t>
            </w:r>
          </w:p>
        </w:tc>
        <w:tc>
          <w:tcPr>
            <w:tcW w:type="dxa" w:w="216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 of Total</w:t>
            </w:r>
          </w:p>
        </w:tc>
      </w:tr>
      <w:tr>
        <w:tc>
          <w:tcPr>
            <w:tcW w:type="dxa" w:w="4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Engineering &amp; Product</w:t>
            </w:r>
          </w:p>
        </w:tc>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78</w:t>
            </w:r>
          </w:p>
        </w:tc>
        <w:tc>
          <w:tcPr>
            <w:tcW w:type="dxa" w:w="2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34.8%</w:t>
            </w:r>
          </w:p>
        </w:tc>
      </w:tr>
      <w:tr>
        <w:tc>
          <w:tcPr>
            <w:tcW w:type="dxa" w:w="4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Sales (AEs, SDRs, SE)</w:t>
            </w:r>
          </w:p>
        </w:tc>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w:t>
            </w:r>
          </w:p>
        </w:tc>
        <w:tc>
          <w:tcPr>
            <w:tcW w:type="dxa" w:w="21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27.7%</w:t>
            </w:r>
          </w:p>
        </w:tc>
      </w:tr>
      <w:tr>
        <w:tc>
          <w:tcPr>
            <w:tcW w:type="dxa" w:w="4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Customer Success &amp; Support</w:t>
            </w:r>
          </w:p>
        </w:tc>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34</w:t>
            </w:r>
          </w:p>
        </w:tc>
        <w:tc>
          <w:tcPr>
            <w:tcW w:type="dxa" w:w="2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15.2%</w:t>
            </w:r>
          </w:p>
        </w:tc>
      </w:tr>
      <w:tr>
        <w:tc>
          <w:tcPr>
            <w:tcW w:type="dxa" w:w="4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Marketing</w:t>
            </w:r>
          </w:p>
        </w:tc>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w:t>
            </w:r>
          </w:p>
        </w:tc>
        <w:tc>
          <w:tcPr>
            <w:tcW w:type="dxa" w:w="21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8.0%</w:t>
            </w:r>
          </w:p>
        </w:tc>
      </w:tr>
      <w:tr>
        <w:tc>
          <w:tcPr>
            <w:tcW w:type="dxa" w:w="4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G&amp;A (Finance, People, Legal, IT)</w:t>
            </w:r>
          </w:p>
        </w:tc>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w:t>
            </w:r>
          </w:p>
        </w:tc>
        <w:tc>
          <w:tcPr>
            <w:tcW w:type="dxa" w:w="2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9.8%</w:t>
            </w:r>
          </w:p>
        </w:tc>
      </w:tr>
      <w:tr>
        <w:tc>
          <w:tcPr>
            <w:tcW w:type="dxa" w:w="4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Leadership</w:t>
            </w:r>
          </w:p>
        </w:tc>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w:t>
            </w:r>
          </w:p>
        </w:tc>
        <w:tc>
          <w:tcPr>
            <w:tcW w:type="dxa" w:w="21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4.5%</w:t>
            </w:r>
          </w:p>
        </w:tc>
      </w:tr>
      <w:tr>
        <w:tc>
          <w:tcPr>
            <w:tcW w:type="dxa" w:w="4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Total</w:t>
            </w:r>
          </w:p>
        </w:tc>
        <w:tc>
          <w:tcPr>
            <w:tcW w:type="dxa" w:w="24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224</w:t>
            </w:r>
          </w:p>
        </w:tc>
        <w:tc>
          <w:tcPr>
            <w:tcW w:type="dxa" w:w="21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100.0%</w:t>
            </w:r>
          </w:p>
        </w:tc>
      </w:tr>
    </w:tbl>
    <w:p>
      <w:pPr>
        <w:pStyle w:val="Heading1"/>
        <w:pageBreakBefore/>
        <w:pBdr>
          <w:bottom w:val="single" w:color="1F4E79" w:sz="8" w:space="4"/>
        </w:pBdr>
        <w:spacing w:after="180" w:before="240"/>
      </w:pPr>
      <w:r>
        <w:rPr>
          <w:rFonts w:ascii="Calibri" w:cs="Calibri" w:eastAsia="Calibri" w:hAnsi="Calibri"/>
          <w:b/>
          <w:bCs/>
          <w:color w:val="0B2545"/>
          <w:sz w:val="36"/>
          <w:szCs w:val="36"/>
        </w:rPr>
        <w:t xml:space="preserve">11. Growth Strategy &amp; Investment Thesis</w:t>
      </w:r>
    </w:p>
    <w:p>
      <w:pPr>
        <w:pStyle w:val="Heading3"/>
        <w:spacing w:after="80" w:before="160"/>
      </w:pPr>
      <w:r>
        <w:rPr>
          <w:rFonts w:ascii="Calibri" w:cs="Calibri" w:eastAsia="Calibri" w:hAnsi="Calibri"/>
          <w:b/>
          <w:bCs/>
          <w:color w:val="1A1A1A"/>
          <w:sz w:val="24"/>
          <w:szCs w:val="24"/>
        </w:rPr>
        <w:t xml:space="preserve">11.1 Strategic Pillars</w:t>
      </w:r>
    </w:p>
    <w:p>
      <w:pPr>
        <w:spacing w:after="60" w:before="60"/>
        <w:jc w:val="left"/>
      </w:pPr>
      <w:r>
        <w:rPr>
          <w:rFonts w:ascii="Calibri" w:cs="Calibri" w:eastAsia="Calibri" w:hAnsi="Calibri"/>
          <w:b w:val="false"/>
          <w:bCs w:val="false"/>
          <w:i w:val="false"/>
          <w:iCs w:val="false"/>
          <w:color w:val="1A1A1A"/>
          <w:sz w:val="22"/>
          <w:szCs w:val="22"/>
        </w:rPr>
        <w:t xml:space="preserve">Management has identified five strategic pillars to drive ZenithOps from $42M ARR (Q4 FY2025) to a multiple of that scale over the next four to five years:</w:t>
      </w:r>
    </w:p>
    <w:p>
      <w:pPr>
        <w:pStyle w:val="Heading3"/>
        <w:spacing w:after="80" w:before="160"/>
      </w:pPr>
      <w:r>
        <w:rPr>
          <w:rFonts w:ascii="Calibri" w:cs="Calibri" w:eastAsia="Calibri" w:hAnsi="Calibri"/>
          <w:b/>
          <w:bCs/>
          <w:color w:val="1A1A1A"/>
          <w:sz w:val="24"/>
          <w:szCs w:val="24"/>
        </w:rPr>
        <w:t xml:space="preserve">Pillar 1: Enterprise Up-Market Expansion</w:t>
      </w:r>
    </w:p>
    <w:p>
      <w:pPr>
        <w:spacing w:after="60" w:before="60"/>
        <w:jc w:val="left"/>
      </w:pPr>
      <w:r>
        <w:rPr>
          <w:rFonts w:ascii="Calibri" w:cs="Calibri" w:eastAsia="Calibri" w:hAnsi="Calibri"/>
          <w:b w:val="false"/>
          <w:bCs w:val="false"/>
          <w:i w:val="false"/>
          <w:iCs w:val="false"/>
          <w:color w:val="1A1A1A"/>
          <w:sz w:val="22"/>
          <w:szCs w:val="22"/>
        </w:rPr>
        <w:t xml:space="preserve">ZenithOps' average deal size has grown from $24K to $56K over four years. Management plans to extend this trajectory by investing in an enterprise-segmented sales function, building dedicated solution architects for the top three vertical industries (financial services, healthcare, manufacturing), and launching a "ZenithOps Enterprise Edition" SKU with single-tenant deployment, advanced governance controls, and SLA guarantees. Target: 35% of new ARR from $250K+ ACV deals by FY2027 (FY2025: 22%).</w:t>
      </w:r>
    </w:p>
    <w:p>
      <w:pPr>
        <w:pStyle w:val="Heading3"/>
        <w:spacing w:after="80" w:before="160"/>
      </w:pPr>
      <w:r>
        <w:rPr>
          <w:rFonts w:ascii="Calibri" w:cs="Calibri" w:eastAsia="Calibri" w:hAnsi="Calibri"/>
          <w:b/>
          <w:bCs/>
          <w:color w:val="1A1A1A"/>
          <w:sz w:val="24"/>
          <w:szCs w:val="24"/>
        </w:rPr>
        <w:t xml:space="preserve">Pillar 2: AI-Native Workflow Capabilities</w:t>
      </w:r>
    </w:p>
    <w:p>
      <w:pPr>
        <w:spacing w:after="60" w:before="60"/>
        <w:jc w:val="left"/>
      </w:pPr>
      <w:r>
        <w:rPr>
          <w:rFonts w:ascii="Calibri" w:cs="Calibri" w:eastAsia="Calibri" w:hAnsi="Calibri"/>
          <w:b w:val="false"/>
          <w:bCs w:val="false"/>
          <w:i w:val="false"/>
          <w:iCs w:val="false"/>
          <w:color w:val="1A1A1A"/>
          <w:sz w:val="22"/>
          <w:szCs w:val="22"/>
        </w:rPr>
        <w:t xml:space="preserve">The AI Process Discovery module released in Q3 FY2025 has been adopted by 38% of enterprise-tier customers. Management's roadmap includes natural-language workflow authoring, autonomous workflow agents ("co-pilots"), and LLM-powered exception handling. AI capabilities will be a primary differentiator versus legacy iPaaS vendors and a key driver of expansion into existing accounts.</w:t>
      </w:r>
    </w:p>
    <w:p>
      <w:pPr>
        <w:pStyle w:val="Heading3"/>
        <w:spacing w:after="80" w:before="160"/>
      </w:pPr>
      <w:r>
        <w:rPr>
          <w:rFonts w:ascii="Calibri" w:cs="Calibri" w:eastAsia="Calibri" w:hAnsi="Calibri"/>
          <w:b/>
          <w:bCs/>
          <w:color w:val="1A1A1A"/>
          <w:sz w:val="24"/>
          <w:szCs w:val="24"/>
        </w:rPr>
        <w:t xml:space="preserve">Pillar 3: International Expansion</w:t>
      </w:r>
    </w:p>
    <w:p>
      <w:pPr>
        <w:spacing w:after="60" w:before="60"/>
        <w:jc w:val="left"/>
      </w:pPr>
      <w:r>
        <w:rPr>
          <w:rFonts w:ascii="Calibri" w:cs="Calibri" w:eastAsia="Calibri" w:hAnsi="Calibri"/>
          <w:b w:val="false"/>
          <w:bCs w:val="false"/>
          <w:i w:val="false"/>
          <w:iCs w:val="false"/>
          <w:color w:val="1A1A1A"/>
          <w:sz w:val="22"/>
          <w:szCs w:val="22"/>
        </w:rPr>
        <w:t xml:space="preserve">EMEA has grown to 24% of ARR in two years and continues to compound at 124% YoY. Management plans to formalise an APAC expansion (Singapore as hub, Sydney and Tokyo as initial markets) and expand the EMEA team from 18 to 42 people over the projection period. Target: 50% of net new ARR from outside North America by FY2028.</w:t>
      </w:r>
    </w:p>
    <w:p>
      <w:pPr>
        <w:pStyle w:val="Heading3"/>
        <w:spacing w:after="80" w:before="160"/>
      </w:pPr>
      <w:r>
        <w:rPr>
          <w:rFonts w:ascii="Calibri" w:cs="Calibri" w:eastAsia="Calibri" w:hAnsi="Calibri"/>
          <w:b/>
          <w:bCs/>
          <w:color w:val="1A1A1A"/>
          <w:sz w:val="24"/>
          <w:szCs w:val="24"/>
        </w:rPr>
        <w:t xml:space="preserve">Pillar 4: Vertical Specialisation</w:t>
      </w:r>
    </w:p>
    <w:p>
      <w:pPr>
        <w:spacing w:after="60" w:before="60"/>
        <w:jc w:val="left"/>
      </w:pPr>
      <w:r>
        <w:rPr>
          <w:rFonts w:ascii="Calibri" w:cs="Calibri" w:eastAsia="Calibri" w:hAnsi="Calibri"/>
          <w:b w:val="false"/>
          <w:bCs w:val="false"/>
          <w:i w:val="false"/>
          <w:iCs w:val="false"/>
          <w:color w:val="1A1A1A"/>
          <w:sz w:val="22"/>
          <w:szCs w:val="22"/>
        </w:rPr>
        <w:t xml:space="preserve">Three verticals (financial services, healthcare, manufacturing) currently represent 56% of ARR and exhibit higher NDR (135% blended) than horizontal customers. The Company plans to launch vertical-specific workflow templates, compliance modules (HIPAA, SOX, financial-services audit trails), and dedicated industry sales motions. A potential bolt-on acquisition pipeline of 6–8 vertical-specific automation tools has been identified.</w:t>
      </w:r>
    </w:p>
    <w:p>
      <w:pPr>
        <w:pStyle w:val="Heading3"/>
        <w:spacing w:after="80" w:before="160"/>
      </w:pPr>
      <w:r>
        <w:rPr>
          <w:rFonts w:ascii="Calibri" w:cs="Calibri" w:eastAsia="Calibri" w:hAnsi="Calibri"/>
          <w:b/>
          <w:bCs/>
          <w:color w:val="1A1A1A"/>
          <w:sz w:val="24"/>
          <w:szCs w:val="24"/>
        </w:rPr>
        <w:t xml:space="preserve">Pillar 5: Platform Extensibility</w:t>
      </w:r>
    </w:p>
    <w:p>
      <w:pPr>
        <w:spacing w:after="60" w:before="60"/>
        <w:jc w:val="left"/>
      </w:pPr>
      <w:r>
        <w:rPr>
          <w:rFonts w:ascii="Calibri" w:cs="Calibri" w:eastAsia="Calibri" w:hAnsi="Calibri"/>
          <w:b w:val="false"/>
          <w:bCs w:val="false"/>
          <w:i w:val="false"/>
          <w:iCs w:val="false"/>
          <w:color w:val="1A1A1A"/>
          <w:sz w:val="22"/>
          <w:szCs w:val="22"/>
        </w:rPr>
        <w:t xml:space="preserve">The current 184-integration library is competitive but not yet differentiated. Management plans to launch a developer ecosystem program, including a public API, marketplace economics, and a partner certification program. The objective is to crowdsource long-tail integrations while focusing internal engineering on the most commercially material connectors.</w:t>
      </w:r>
    </w:p>
    <w:p>
      <w:pPr>
        <w:pStyle w:val="Heading3"/>
        <w:spacing w:after="80" w:before="160"/>
      </w:pPr>
      <w:r>
        <w:rPr>
          <w:rFonts w:ascii="Calibri" w:cs="Calibri" w:eastAsia="Calibri" w:hAnsi="Calibri"/>
          <w:b/>
          <w:bCs/>
          <w:color w:val="1A1A1A"/>
          <w:sz w:val="24"/>
          <w:szCs w:val="24"/>
        </w:rPr>
        <w:t xml:space="preserve">11.2 Why Now</w:t>
      </w:r>
    </w:p>
    <w:p>
      <w:pPr>
        <w:pStyle w:val="ListParagraph"/>
        <w:numPr>
          <w:ilvl w:val="0"/>
          <w:numId w:val="2"/>
        </w:numPr>
        <w:spacing w:after="40" w:before="40"/>
      </w:pPr>
      <w:r>
        <w:rPr>
          <w:rFonts w:ascii="Calibri" w:cs="Calibri" w:eastAsia="Calibri" w:hAnsi="Calibri"/>
          <w:color w:val="1A1A1A"/>
          <w:sz w:val="22"/>
          <w:szCs w:val="22"/>
        </w:rPr>
        <w:t xml:space="preserve">Mid-market SaaS sprawl. The mid-market continues to add SaaS applications at 14% per year, expanding the integration burden ZenithOps addresses.</w:t>
      </w:r>
    </w:p>
    <w:p>
      <w:pPr>
        <w:pStyle w:val="ListParagraph"/>
        <w:numPr>
          <w:ilvl w:val="0"/>
          <w:numId w:val="2"/>
        </w:numPr>
        <w:spacing w:after="40" w:before="40"/>
      </w:pPr>
      <w:r>
        <w:rPr>
          <w:rFonts w:ascii="Calibri" w:cs="Calibri" w:eastAsia="Calibri" w:hAnsi="Calibri"/>
          <w:color w:val="1A1A1A"/>
          <w:sz w:val="22"/>
          <w:szCs w:val="22"/>
        </w:rPr>
        <w:t xml:space="preserve">AI inflection. The shift to AI-native workflow tooling is occurring in a window where ZenithOps' architecture (modular, event-driven) is more easily adapted than legacy iPaaS suites.</w:t>
      </w:r>
    </w:p>
    <w:p>
      <w:pPr>
        <w:pStyle w:val="ListParagraph"/>
        <w:numPr>
          <w:ilvl w:val="0"/>
          <w:numId w:val="2"/>
        </w:numPr>
        <w:spacing w:after="40" w:before="40"/>
      </w:pPr>
      <w:r>
        <w:rPr>
          <w:rFonts w:ascii="Calibri" w:cs="Calibri" w:eastAsia="Calibri" w:hAnsi="Calibri"/>
          <w:color w:val="1A1A1A"/>
          <w:sz w:val="22"/>
          <w:szCs w:val="22"/>
        </w:rPr>
        <w:t xml:space="preserve">Profitability inflection. The Company has crossed into profitability and is now positioned to deploy capital with discipline against high-confidence growth investments.</w:t>
      </w:r>
    </w:p>
    <w:p>
      <w:pPr>
        <w:pStyle w:val="ListParagraph"/>
        <w:numPr>
          <w:ilvl w:val="0"/>
          <w:numId w:val="2"/>
        </w:numPr>
        <w:spacing w:after="40" w:before="40"/>
      </w:pPr>
      <w:r>
        <w:rPr>
          <w:rFonts w:ascii="Calibri" w:cs="Calibri" w:eastAsia="Calibri" w:hAnsi="Calibri"/>
          <w:color w:val="1A1A1A"/>
          <w:sz w:val="22"/>
          <w:szCs w:val="22"/>
        </w:rPr>
        <w:t xml:space="preserve">Capital markets readiness. The Rule of 40 reading at 65% places ZenithOps comfortably above the threshold typically required for IPO readiness within 36–48 months at scale.</w:t>
      </w:r>
    </w:p>
    <w:p>
      <w:pPr>
        <w:pStyle w:val="Heading1"/>
        <w:pageBreakBefore/>
        <w:pBdr>
          <w:bottom w:val="single" w:color="1F4E79" w:sz="8" w:space="4"/>
        </w:pBdr>
        <w:spacing w:after="180" w:before="240"/>
      </w:pPr>
      <w:r>
        <w:rPr>
          <w:rFonts w:ascii="Calibri" w:cs="Calibri" w:eastAsia="Calibri" w:hAnsi="Calibri"/>
          <w:b/>
          <w:bCs/>
          <w:color w:val="0B2545"/>
          <w:sz w:val="36"/>
          <w:szCs w:val="36"/>
        </w:rPr>
        <w:t xml:space="preserve">12. Key Risks &amp; Mitigants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Risk</w:t>
            </w:r>
          </w:p>
        </w:tc>
        <w:tc>
          <w:tcPr>
            <w:tcW w:type="dxa" w:w="37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Description</w:t>
            </w:r>
          </w:p>
        </w:tc>
        <w:tc>
          <w:tcPr>
            <w:tcW w:type="dxa" w:w="416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Mitigant</w:t>
            </w:r>
          </w:p>
        </w:tc>
      </w:tr>
      <w:tr>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Customer concentration</w:t>
            </w:r>
          </w:p>
        </w:tc>
        <w:tc>
          <w:tcPr>
            <w:tcW w:type="dxa" w:w="3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Top 1 customer represents 9.3% of ARR; top 10 represent 47.5%. Loss of an anchor account would have material impact.</w:t>
            </w:r>
          </w:p>
        </w:tc>
        <w:tc>
          <w:tcPr>
            <w:tcW w:type="dxa" w:w="4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Multi-year contracts with top 5 (avg remaining term 2.4 years); customer A renewed in Jul 2024 on 4-year terms; product embedded in customer workflows; 95% gross dollar retention.</w:t>
            </w:r>
          </w:p>
        </w:tc>
      </w:tr>
      <w:tr>
        <w:tc>
          <w:tcPr>
            <w:tcW w:type="dxa" w:w="15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Competitive pressure (Workato, Tray.io)</w:t>
            </w:r>
          </w:p>
        </w:tc>
        <w:tc>
          <w:tcPr>
            <w:tcW w:type="dxa" w:w="3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Well-capitalised competitors moving down-market or up-market into ZenithOps' segment.</w:t>
            </w:r>
          </w:p>
        </w:tc>
        <w:tc>
          <w:tcPr>
            <w:tcW w:type="dxa" w:w="41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AI-native architecture; faster TTV (avg 18 days vs. competitors at 60–90 days); win rate vs. Tray.io of 64% in head-to-head deals over LTM.</w:t>
            </w:r>
          </w:p>
        </w:tc>
      </w:tr>
      <w:tr>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AI / LLM platform risk</w:t>
            </w:r>
          </w:p>
        </w:tc>
        <w:tc>
          <w:tcPr>
            <w:tcW w:type="dxa" w:w="3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Emerging AI vendors may offer workflow automation as a feature of broader AI platforms.</w:t>
            </w:r>
          </w:p>
        </w:tc>
        <w:tc>
          <w:tcPr>
            <w:tcW w:type="dxa" w:w="4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ZenithOps integrates with major LLM providers rather than building foundation models; positioning is workflow orchestration over LLMs, not LLM-as-platform.</w:t>
            </w:r>
          </w:p>
        </w:tc>
      </w:tr>
      <w:tr>
        <w:tc>
          <w:tcPr>
            <w:tcW w:type="dxa" w:w="15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Hyperscaler dependency</w:t>
            </w:r>
          </w:p>
        </w:tc>
        <w:tc>
          <w:tcPr>
            <w:tcW w:type="dxa" w:w="3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Substantially all infrastructure on AWS; concentrated cloud dependency.</w:t>
            </w:r>
          </w:p>
        </w:tc>
        <w:tc>
          <w:tcPr>
            <w:tcW w:type="dxa" w:w="41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Multi-region AWS deployment; ongoing evaluation of multi-cloud architecture for FY2027; AWS Enterprise Discount Plan in place.</w:t>
            </w:r>
          </w:p>
        </w:tc>
      </w:tr>
      <w:tr>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International expansion execution</w:t>
            </w:r>
          </w:p>
        </w:tc>
        <w:tc>
          <w:tcPr>
            <w:tcW w:type="dxa" w:w="3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EMEA office is two years old; APAC expansion is nascent.</w:t>
            </w:r>
          </w:p>
        </w:tc>
        <w:tc>
          <w:tcPr>
            <w:tcW w:type="dxa" w:w="4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EMEA leadership recruited from prior successful international SaaS scaling; established sales playbook; revenue compounded 124% YoY in EMEA.</w:t>
            </w:r>
          </w:p>
        </w:tc>
      </w:tr>
      <w:tr>
        <w:tc>
          <w:tcPr>
            <w:tcW w:type="dxa" w:w="15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Talent retention (engineering)</w:t>
            </w:r>
          </w:p>
        </w:tc>
        <w:tc>
          <w:tcPr>
            <w:tcW w:type="dxa" w:w="3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Competition for SaaS engineering talent remains intense, particularly in AI/ML.</w:t>
            </w:r>
          </w:p>
        </w:tc>
        <w:tc>
          <w:tcPr>
            <w:tcW w:type="dxa" w:w="41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Equity-heavy compensation structure (avg engineer ESOP grant 0.05–0.15%); engineering attrition of 11% (LTM) vs. industry benchmark of ~17%.</w:t>
            </w:r>
          </w:p>
        </w:tc>
      </w:tr>
      <w:tr>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FX exposure</w:t>
            </w:r>
          </w:p>
        </w:tc>
        <w:tc>
          <w:tcPr>
            <w:tcW w:type="dxa" w:w="3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 of ARR is international; revenue billed in local currency for 22% of international book.</w:t>
            </w:r>
          </w:p>
        </w:tc>
        <w:tc>
          <w:tcPr>
            <w:tcW w:type="dxa" w:w="4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Forward FX hedging on EUR and GBP exposures above $1M; balance billed in USD; natural hedge from EMEA cost base.</w:t>
            </w:r>
          </w:p>
        </w:tc>
      </w:tr>
      <w:tr>
        <w:tc>
          <w:tcPr>
            <w:tcW w:type="dxa" w:w="15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Founder dependency</w:t>
            </w:r>
          </w:p>
        </w:tc>
        <w:tc>
          <w:tcPr>
            <w:tcW w:type="dxa" w:w="37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Co-founders Marcus and Priya hold significant operational responsibility.</w:t>
            </w:r>
          </w:p>
        </w:tc>
        <w:tc>
          <w:tcPr>
            <w:tcW w:type="dxa" w:w="416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Senior leadership team of 7 with avg 2.2 years tenure; founders open to multi-year retention agreements as part of any transaction.</w:t>
            </w:r>
          </w:p>
        </w:tc>
      </w:tr>
    </w:tbl>
    <w:p>
      <w:pPr>
        <w:pStyle w:val="Heading1"/>
        <w:pageBreakBefore/>
        <w:pBdr>
          <w:bottom w:val="single" w:color="1F4E79" w:sz="8" w:space="4"/>
        </w:pBdr>
        <w:spacing w:after="180" w:before="240"/>
      </w:pPr>
      <w:r>
        <w:rPr>
          <w:rFonts w:ascii="Calibri" w:cs="Calibri" w:eastAsia="Calibri" w:hAnsi="Calibri"/>
          <w:b/>
          <w:bCs/>
          <w:color w:val="0B2545"/>
          <w:sz w:val="36"/>
          <w:szCs w:val="36"/>
        </w:rPr>
        <w:t xml:space="preserve">13. Appendices</w:t>
      </w:r>
    </w:p>
    <w:p>
      <w:pPr>
        <w:pStyle w:val="Heading3"/>
        <w:spacing w:after="80" w:before="160"/>
      </w:pPr>
      <w:r>
        <w:rPr>
          <w:rFonts w:ascii="Calibri" w:cs="Calibri" w:eastAsia="Calibri" w:hAnsi="Calibri"/>
          <w:b/>
          <w:bCs/>
          <w:color w:val="1A1A1A"/>
          <w:sz w:val="24"/>
          <w:szCs w:val="24"/>
        </w:rPr>
        <w:t xml:space="preserve">Appendix A: Five-Year P&amp;L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72"/>
        <w:gridCol w:w="1272"/>
        <w:gridCol w:w="1272"/>
        <w:gridCol w:w="1272"/>
        <w:gridCol w:w="1272"/>
      </w:tblGrid>
      <w:tr>
        <w:trPr>
          <w:tblHeader/>
        </w:trPr>
        <w:tc>
          <w:tcPr>
            <w:tcW w:type="dxa" w:w="3000"/>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 thousands</w:t>
            </w:r>
          </w:p>
        </w:tc>
        <w:tc>
          <w:tcPr>
            <w:tcW w:type="dxa" w:w="1272"/>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FY2020</w:t>
            </w:r>
          </w:p>
        </w:tc>
        <w:tc>
          <w:tcPr>
            <w:tcW w:type="dxa" w:w="1272"/>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FY2021</w:t>
            </w:r>
          </w:p>
        </w:tc>
        <w:tc>
          <w:tcPr>
            <w:tcW w:type="dxa" w:w="1272"/>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FY2022</w:t>
            </w:r>
          </w:p>
        </w:tc>
        <w:tc>
          <w:tcPr>
            <w:tcW w:type="dxa" w:w="1272"/>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FY2023</w:t>
            </w:r>
          </w:p>
        </w:tc>
        <w:tc>
          <w:tcPr>
            <w:tcW w:type="dxa" w:w="1272"/>
            <w:tcBorders>
              <w:top w:val="single" w:color="C0C0C0" w:sz="4"/>
              <w:left w:val="single" w:color="C0C0C0" w:sz="4"/>
              <w:bottom w:val="single" w:color="C0C0C0" w:sz="4"/>
              <w:right w:val="single" w:color="C0C0C0" w:sz="4"/>
            </w:tcBorders>
            <w:shd w:fill="1F4E79"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FY2024</w:t>
            </w:r>
          </w:p>
        </w:tc>
      </w:tr>
      <w:tr>
        <w:tc>
          <w:tcPr>
            <w:tcW w:type="dxa" w:w="3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Revenue</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1,460</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3,085</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6,560</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12,600</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21,720</w:t>
            </w:r>
          </w:p>
        </w:tc>
      </w:tr>
      <w:tr>
        <w:tc>
          <w:tcPr>
            <w:tcW w:type="dxa" w:w="30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Gross Profit</w:t>
            </w:r>
          </w:p>
        </w:tc>
        <w:tc>
          <w:tcPr>
            <w:tcW w:type="dxa" w:w="127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1,020</w:t>
            </w:r>
          </w:p>
        </w:tc>
        <w:tc>
          <w:tcPr>
            <w:tcW w:type="dxa" w:w="127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2,243</w:t>
            </w:r>
          </w:p>
        </w:tc>
        <w:tc>
          <w:tcPr>
            <w:tcW w:type="dxa" w:w="127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4,978</w:t>
            </w:r>
          </w:p>
        </w:tc>
        <w:tc>
          <w:tcPr>
            <w:tcW w:type="dxa" w:w="127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9,726</w:t>
            </w:r>
          </w:p>
        </w:tc>
        <w:tc>
          <w:tcPr>
            <w:tcW w:type="dxa" w:w="127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16,980</w:t>
            </w:r>
          </w:p>
        </w:tc>
      </w:tr>
      <w:tr>
        <w:tc>
          <w:tcPr>
            <w:tcW w:type="dxa" w:w="3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Gross Margin %</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69.9%</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72.7%</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75.9%</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77.2%</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78.2%</w:t>
            </w:r>
          </w:p>
        </w:tc>
      </w:tr>
      <w:tr>
        <w:tc>
          <w:tcPr>
            <w:tcW w:type="dxa" w:w="30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Operating Expenses</w:t>
            </w:r>
          </w:p>
        </w:tc>
        <w:tc>
          <w:tcPr>
            <w:tcW w:type="dxa" w:w="127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(1,620)</w:t>
            </w:r>
          </w:p>
        </w:tc>
        <w:tc>
          <w:tcPr>
            <w:tcW w:type="dxa" w:w="127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(3,100)</w:t>
            </w:r>
          </w:p>
        </w:tc>
        <w:tc>
          <w:tcPr>
            <w:tcW w:type="dxa" w:w="127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(6,000)</w:t>
            </w:r>
          </w:p>
        </w:tc>
        <w:tc>
          <w:tcPr>
            <w:tcW w:type="dxa" w:w="127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(10,500)</w:t>
            </w:r>
          </w:p>
        </w:tc>
        <w:tc>
          <w:tcPr>
            <w:tcW w:type="dxa" w:w="127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(16,340)</w:t>
            </w:r>
          </w:p>
        </w:tc>
      </w:tr>
      <w:tr>
        <w:tc>
          <w:tcPr>
            <w:tcW w:type="dxa" w:w="3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EBIT</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(600)</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(857)</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(1,022)</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(774)</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640</w:t>
            </w:r>
          </w:p>
        </w:tc>
      </w:tr>
      <w:tr>
        <w:tc>
          <w:tcPr>
            <w:tcW w:type="dxa" w:w="30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EBITDA</w:t>
            </w:r>
          </w:p>
        </w:tc>
        <w:tc>
          <w:tcPr>
            <w:tcW w:type="dxa" w:w="127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(520)</w:t>
            </w:r>
          </w:p>
        </w:tc>
        <w:tc>
          <w:tcPr>
            <w:tcW w:type="dxa" w:w="127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(715)</w:t>
            </w:r>
          </w:p>
        </w:tc>
        <w:tc>
          <w:tcPr>
            <w:tcW w:type="dxa" w:w="127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(774)</w:t>
            </w:r>
          </w:p>
        </w:tc>
        <w:tc>
          <w:tcPr>
            <w:tcW w:type="dxa" w:w="127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(354)</w:t>
            </w:r>
          </w:p>
        </w:tc>
        <w:tc>
          <w:tcPr>
            <w:tcW w:type="dxa" w:w="127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1,320</w:t>
            </w:r>
          </w:p>
        </w:tc>
      </w:tr>
      <w:tr>
        <w:tc>
          <w:tcPr>
            <w:tcW w:type="dxa" w:w="3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EBITDA Margin %</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(35.6%)</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(23.2%)</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(11.8%)</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6.1%</w:t>
            </w:r>
          </w:p>
        </w:tc>
      </w:tr>
      <w:tr>
        <w:tc>
          <w:tcPr>
            <w:tcW w:type="dxa" w:w="3000"/>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Net Income</w:t>
            </w:r>
          </w:p>
        </w:tc>
        <w:tc>
          <w:tcPr>
            <w:tcW w:type="dxa" w:w="127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(612)</w:t>
            </w:r>
          </w:p>
        </w:tc>
        <w:tc>
          <w:tcPr>
            <w:tcW w:type="dxa" w:w="127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(885)</w:t>
            </w:r>
          </w:p>
        </w:tc>
        <w:tc>
          <w:tcPr>
            <w:tcW w:type="dxa" w:w="127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(1,064)</w:t>
            </w:r>
          </w:p>
        </w:tc>
        <w:tc>
          <w:tcPr>
            <w:tcW w:type="dxa" w:w="127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(842)</w:t>
            </w:r>
          </w:p>
        </w:tc>
        <w:tc>
          <w:tcPr>
            <w:tcW w:type="dxa" w:w="1272"/>
            <w:tcBorders>
              <w:top w:val="single" w:color="C0C0C0" w:sz="4"/>
              <w:left w:val="single" w:color="C0C0C0" w:sz="4"/>
              <w:bottom w:val="single" w:color="C0C0C0" w:sz="4"/>
              <w:right w:val="single" w:color="C0C0C0" w:sz="4"/>
            </w:tcBorders>
            <w:shd w:fill="F2F6FB"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408</w:t>
            </w:r>
          </w:p>
        </w:tc>
      </w:tr>
    </w:tbl>
    <w:p>
      <w:pPr>
        <w:pStyle w:val="Heading3"/>
        <w:spacing w:after="80" w:before="160"/>
      </w:pPr>
      <w:r>
        <w:rPr>
          <w:rFonts w:ascii="Calibri" w:cs="Calibri" w:eastAsia="Calibri" w:hAnsi="Calibri"/>
          <w:b/>
          <w:bCs/>
          <w:color w:val="1A1A1A"/>
          <w:sz w:val="24"/>
          <w:szCs w:val="24"/>
        </w:rPr>
        <w:t xml:space="preserve">Appendix B: Quarterly ARR Detail</w:t>
      </w:r>
    </w:p>
    <w:p>
      <w:pPr>
        <w:spacing w:after="60" w:before="60"/>
        <w:jc w:val="left"/>
      </w:pPr>
      <w:r>
        <w:rPr>
          <w:rFonts w:ascii="Calibri" w:cs="Calibri" w:eastAsia="Calibri" w:hAnsi="Calibri"/>
          <w:b w:val="false"/>
          <w:bCs w:val="false"/>
          <w:i/>
          <w:iCs/>
          <w:color w:val="555555"/>
          <w:sz w:val="18"/>
          <w:szCs w:val="18"/>
        </w:rPr>
        <w:t xml:space="preserve">Detailed quarterly ARR build is presented in Section 7.1 of this Memorandum.</w:t>
      </w:r>
    </w:p>
    <w:p>
      <w:pPr>
        <w:pStyle w:val="Heading3"/>
        <w:spacing w:after="80" w:before="160"/>
      </w:pPr>
      <w:r>
        <w:rPr>
          <w:rFonts w:ascii="Calibri" w:cs="Calibri" w:eastAsia="Calibri" w:hAnsi="Calibri"/>
          <w:b/>
          <w:bCs/>
          <w:color w:val="1A1A1A"/>
          <w:sz w:val="24"/>
          <w:szCs w:val="24"/>
        </w:rPr>
        <w:t xml:space="preserve">Appendix C: Cohort Retention</w:t>
      </w:r>
    </w:p>
    <w:p>
      <w:pPr>
        <w:spacing w:after="60" w:before="60"/>
        <w:jc w:val="left"/>
      </w:pPr>
      <w:r>
        <w:rPr>
          <w:rFonts w:ascii="Calibri" w:cs="Calibri" w:eastAsia="Calibri" w:hAnsi="Calibri"/>
          <w:b w:val="false"/>
          <w:bCs w:val="false"/>
          <w:i w:val="false"/>
          <w:iCs w:val="false"/>
          <w:color w:val="1A1A1A"/>
          <w:sz w:val="22"/>
          <w:szCs w:val="22"/>
        </w:rPr>
        <w:t xml:space="preserve">Refer to Section 7.3 for cohort-level retention performance. Source data: customer revenue ledger reconciled against subscription billing system; methodology and supporting workpapers will be made available in the data room.</w:t>
      </w:r>
    </w:p>
    <w:p>
      <w:pPr>
        <w:pStyle w:val="Heading3"/>
        <w:spacing w:after="80" w:before="160"/>
      </w:pPr>
      <w:r>
        <w:rPr>
          <w:rFonts w:ascii="Calibri" w:cs="Calibri" w:eastAsia="Calibri" w:hAnsi="Calibri"/>
          <w:b/>
          <w:bCs/>
          <w:color w:val="1A1A1A"/>
          <w:sz w:val="24"/>
          <w:szCs w:val="24"/>
        </w:rPr>
        <w:t xml:space="preserve">Appendix D: Top 20 Customers</w:t>
      </w:r>
    </w:p>
    <w:p>
      <w:pPr>
        <w:spacing w:after="60" w:before="60"/>
        <w:jc w:val="left"/>
      </w:pPr>
      <w:r>
        <w:rPr>
          <w:rFonts w:ascii="Calibri" w:cs="Calibri" w:eastAsia="Calibri" w:hAnsi="Calibri"/>
          <w:b w:val="false"/>
          <w:bCs w:val="false"/>
          <w:i/>
          <w:iCs/>
          <w:color w:val="555555"/>
          <w:sz w:val="18"/>
          <w:szCs w:val="18"/>
        </w:rPr>
        <w:t xml:space="preserve">Refer to Section 6.2 for anonymised customer schedule. Reconciled customer names will be provided through the secure data room subject to clean-team protocols.</w:t>
      </w:r>
    </w:p>
    <w:p>
      <w:pPr>
        <w:pStyle w:val="Heading3"/>
        <w:spacing w:after="80" w:before="160"/>
      </w:pPr>
      <w:r>
        <w:rPr>
          <w:rFonts w:ascii="Calibri" w:cs="Calibri" w:eastAsia="Calibri" w:hAnsi="Calibri"/>
          <w:b/>
          <w:bCs/>
          <w:color w:val="1A1A1A"/>
          <w:sz w:val="24"/>
          <w:szCs w:val="24"/>
        </w:rPr>
        <w:t xml:space="preserve">Appendix E: Material Notes</w:t>
      </w:r>
    </w:p>
    <w:p>
      <w:pPr>
        <w:pStyle w:val="ListParagraph"/>
        <w:numPr>
          <w:ilvl w:val="0"/>
          <w:numId w:val="2"/>
        </w:numPr>
        <w:spacing w:after="40" w:before="40"/>
      </w:pPr>
      <w:r>
        <w:rPr>
          <w:rFonts w:ascii="Calibri" w:cs="Calibri" w:eastAsia="Calibri" w:hAnsi="Calibri"/>
          <w:color w:val="1A1A1A"/>
          <w:sz w:val="22"/>
          <w:szCs w:val="22"/>
        </w:rPr>
        <w:t xml:space="preserve">Fiscal year aligns with the calendar year (January–December).</w:t>
      </w:r>
    </w:p>
    <w:p>
      <w:pPr>
        <w:pStyle w:val="ListParagraph"/>
        <w:numPr>
          <w:ilvl w:val="0"/>
          <w:numId w:val="2"/>
        </w:numPr>
        <w:spacing w:after="40" w:before="40"/>
      </w:pPr>
      <w:r>
        <w:rPr>
          <w:rFonts w:ascii="Calibri" w:cs="Calibri" w:eastAsia="Calibri" w:hAnsi="Calibri"/>
          <w:color w:val="1A1A1A"/>
          <w:sz w:val="22"/>
          <w:szCs w:val="22"/>
        </w:rPr>
        <w:t xml:space="preserve">All figures presented in USD thousands unless otherwise noted.</w:t>
      </w:r>
    </w:p>
    <w:p>
      <w:pPr>
        <w:pStyle w:val="ListParagraph"/>
        <w:numPr>
          <w:ilvl w:val="0"/>
          <w:numId w:val="2"/>
        </w:numPr>
        <w:spacing w:after="40" w:before="40"/>
      </w:pPr>
      <w:r>
        <w:rPr>
          <w:rFonts w:ascii="Calibri" w:cs="Calibri" w:eastAsia="Calibri" w:hAnsi="Calibri"/>
          <w:color w:val="1A1A1A"/>
          <w:sz w:val="22"/>
          <w:szCs w:val="22"/>
        </w:rPr>
        <w:t xml:space="preserve">Subscription revenue is recognised ratably over the contract term in accordance with ASC 606.</w:t>
      </w:r>
    </w:p>
    <w:p>
      <w:pPr>
        <w:pStyle w:val="ListParagraph"/>
        <w:numPr>
          <w:ilvl w:val="0"/>
          <w:numId w:val="2"/>
        </w:numPr>
        <w:spacing w:after="40" w:before="40"/>
      </w:pPr>
      <w:r>
        <w:rPr>
          <w:rFonts w:ascii="Calibri" w:cs="Calibri" w:eastAsia="Calibri" w:hAnsi="Calibri"/>
          <w:color w:val="1A1A1A"/>
          <w:sz w:val="22"/>
          <w:szCs w:val="22"/>
        </w:rPr>
        <w:t xml:space="preserve">FY2025E reflects 11 months of actuals (January–November 2025) plus December management forecast.</w:t>
      </w:r>
    </w:p>
    <w:p>
      <w:pPr>
        <w:pStyle w:val="ListParagraph"/>
        <w:numPr>
          <w:ilvl w:val="0"/>
          <w:numId w:val="2"/>
        </w:numPr>
        <w:spacing w:after="40" w:before="40"/>
      </w:pPr>
      <w:r>
        <w:rPr>
          <w:rFonts w:ascii="Calibri" w:cs="Calibri" w:eastAsia="Calibri" w:hAnsi="Calibri"/>
          <w:color w:val="1A1A1A"/>
          <w:sz w:val="22"/>
          <w:szCs w:val="22"/>
        </w:rPr>
        <w:t xml:space="preserve">FY2026P / FY2027P reflect management base case assuming successful completion of the contemplated transaction with $40M of primary capital.</w:t>
      </w:r>
    </w:p>
    <w:p>
      <w:pPr>
        <w:pStyle w:val="ListParagraph"/>
        <w:numPr>
          <w:ilvl w:val="0"/>
          <w:numId w:val="2"/>
        </w:numPr>
        <w:spacing w:after="40" w:before="40"/>
      </w:pPr>
      <w:r>
        <w:rPr>
          <w:rFonts w:ascii="Calibri" w:cs="Calibri" w:eastAsia="Calibri" w:hAnsi="Calibri"/>
          <w:color w:val="1A1A1A"/>
          <w:sz w:val="22"/>
          <w:szCs w:val="22"/>
        </w:rPr>
        <w:t xml:space="preserve">Net Dollar Retention reflects expansion (upsell + cross-sell + price) less downgrades and gross churn for prior-year cohorts, computed on a trailing-twelve-month basis.</w:t>
      </w:r>
    </w:p>
    <w:p>
      <w:pPr>
        <w:pStyle w:val="ListParagraph"/>
        <w:numPr>
          <w:ilvl w:val="0"/>
          <w:numId w:val="2"/>
        </w:numPr>
        <w:spacing w:after="40" w:before="40"/>
      </w:pPr>
      <w:r>
        <w:rPr>
          <w:rFonts w:ascii="Calibri" w:cs="Calibri" w:eastAsia="Calibri" w:hAnsi="Calibri"/>
          <w:color w:val="1A1A1A"/>
          <w:sz w:val="22"/>
          <w:szCs w:val="22"/>
        </w:rPr>
        <w:t xml:space="preserve">CAC Payback measured on a gross-profit basis using trailing 4-quarter average sales &amp; marketing spend.</w:t>
      </w:r>
    </w:p>
    <w:p>
      <w:pPr>
        <w:pStyle w:val="ListParagraph"/>
        <w:numPr>
          <w:ilvl w:val="0"/>
          <w:numId w:val="2"/>
        </w:numPr>
        <w:spacing w:after="40" w:before="40"/>
      </w:pPr>
      <w:r>
        <w:rPr>
          <w:rFonts w:ascii="Calibri" w:cs="Calibri" w:eastAsia="Calibri" w:hAnsi="Calibri"/>
          <w:color w:val="1A1A1A"/>
          <w:sz w:val="22"/>
          <w:szCs w:val="22"/>
        </w:rPr>
        <w:t xml:space="preserve">Magic Number = (quarter-over-quarter ARR change × 4) / prior quarter sales &amp; marketing spend.</w:t>
      </w:r>
    </w:p>
    <w:p>
      <w:pPr>
        <w:pStyle w:val="ListParagraph"/>
        <w:numPr>
          <w:ilvl w:val="0"/>
          <w:numId w:val="2"/>
        </w:numPr>
        <w:spacing w:after="40" w:before="40"/>
      </w:pPr>
      <w:r>
        <w:rPr>
          <w:rFonts w:ascii="Calibri" w:cs="Calibri" w:eastAsia="Calibri" w:hAnsi="Calibri"/>
          <w:color w:val="1A1A1A"/>
          <w:sz w:val="22"/>
          <w:szCs w:val="22"/>
        </w:rPr>
        <w:t xml:space="preserve">Rule of 40 = Revenue growth % + EBITDA margin %.</w:t>
      </w:r>
    </w:p>
    <w:p>
      <w:pPr>
        <w:pStyle w:val="ListParagraph"/>
        <w:numPr>
          <w:ilvl w:val="0"/>
          <w:numId w:val="2"/>
        </w:numPr>
        <w:spacing w:after="40" w:before="40"/>
      </w:pPr>
      <w:r>
        <w:rPr>
          <w:rFonts w:ascii="Calibri" w:cs="Calibri" w:eastAsia="Calibri" w:hAnsi="Calibri"/>
          <w:color w:val="1A1A1A"/>
          <w:sz w:val="22"/>
          <w:szCs w:val="22"/>
        </w:rPr>
        <w:t xml:space="preserve">Stock-based compensation is excluded from operating expenses presented in this Memorandum (~$1.4M in FY2024). A reconciled GAAP P&amp;L will be made available in the data room.</w:t>
      </w:r>
    </w:p>
    <w:p>
      <w:pPr>
        <w:pStyle w:val="ListParagraph"/>
        <w:numPr>
          <w:ilvl w:val="0"/>
          <w:numId w:val="2"/>
        </w:numPr>
        <w:spacing w:after="40" w:before="40"/>
      </w:pPr>
      <w:r>
        <w:rPr>
          <w:rFonts w:ascii="Calibri" w:cs="Calibri" w:eastAsia="Calibri" w:hAnsi="Calibri"/>
          <w:color w:val="1A1A1A"/>
          <w:sz w:val="22"/>
          <w:szCs w:val="22"/>
        </w:rPr>
        <w:t xml:space="preserve">International revenue: 38% of FY2024 ARR; comprising EMEA 24%, APAC 11%, LATAM 3%.</w:t>
      </w:r>
    </w:p>
    <w:p>
      <w:pPr>
        <w:pStyle w:val="ListParagraph"/>
        <w:numPr>
          <w:ilvl w:val="0"/>
          <w:numId w:val="2"/>
        </w:numPr>
        <w:spacing w:after="40" w:before="40"/>
      </w:pPr>
      <w:r>
        <w:rPr>
          <w:rFonts w:ascii="Calibri" w:cs="Calibri" w:eastAsia="Calibri" w:hAnsi="Calibri"/>
          <w:color w:val="1A1A1A"/>
          <w:sz w:val="22"/>
          <w:szCs w:val="22"/>
        </w:rPr>
        <w:t xml:space="preserve">Customer concentration: Top 1 = 9.3%, Top 5 = 29.6%, Top 10 = 47.5%, Top 20 = 64.5% of FY2024 ARR.</w:t>
      </w:r>
    </w:p>
    <w:p>
      <w:r>
        <w:rPr>
          <w:rFonts w:ascii="Calibri" w:cs="Calibri" w:eastAsia="Calibri" w:hAnsi="Calibri"/>
          <w:sz w:val="18"/>
          <w:szCs w:val="18"/>
        </w:rPr>
        <w:t xml:space="preserve"> </w:t>
      </w:r>
    </w:p>
    <w:p>
      <w:pPr>
        <w:spacing w:after="60" w:before="60"/>
        <w:jc w:val="center"/>
      </w:pPr>
      <w:r>
        <w:rPr>
          <w:rFonts w:ascii="Calibri" w:cs="Calibri" w:eastAsia="Calibri" w:hAnsi="Calibri"/>
          <w:b w:val="false"/>
          <w:bCs w:val="false"/>
          <w:i/>
          <w:iCs/>
          <w:color w:val="555555"/>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0C0" w:sz="4" w:space="4"/>
      </w:pBdr>
      <w:tabs>
        <w:tab w:val="right" w:pos="9360"/>
      </w:tabs>
    </w:pPr>
    <w:r>
      <w:rPr>
        <w:rFonts w:ascii="Calibri" w:cs="Calibri" w:eastAsia="Calibri" w:hAnsi="Calibri"/>
        <w:color w:val="555555"/>
        <w:sz w:val="16"/>
        <w:szCs w:val="16"/>
      </w:rPr>
      <w:t xml:space="preserve">Project Atlas  |  Confidential Investment Memorandum  |  February 2026</w:t>
    </w:r>
    <w:r>
      <w:rPr>
        <w:rFonts w:ascii="Calibri" w:cs="Calibri" w:eastAsia="Calibri" w:hAnsi="Calibri"/>
        <w:color w:val="555555"/>
        <w:sz w:val="16"/>
        <w:szCs w:val="16"/>
      </w:rPr>
      <w:t xml:space="preserve">	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Calibri" w:cs="Calibri" w:eastAsia="Calibri" w:hAnsi="Calibri"/>
        <w:b/>
        <w:bCs/>
        <w:color w:val="0B2545"/>
        <w:sz w:val="16"/>
        <w:szCs w:val="16"/>
      </w:rPr>
      <w:t xml:space="preserve">STRICTLY PRIVATE &amp; CONFIDENTIAL</w:t>
    </w:r>
    <w:r>
      <w:rPr>
        <w:rFonts w:ascii="Calibri" w:cs="Calibri" w:eastAsia="Calibri" w:hAnsi="Calibri"/>
        <w:color w:val="555555"/>
        <w:sz w:val="16"/>
        <w:szCs w:val="16"/>
      </w:rPr>
      <w:t xml:space="preserve">    |    </w:t>
    </w:r>
    <w:r>
      <w:rPr>
        <w:rFonts w:ascii="Calibri" w:cs="Calibri" w:eastAsia="Calibri" w:hAnsi="Calibri"/>
        <w:i/>
        <w:iCs/>
        <w:color w:val="555555"/>
        <w:sz w:val="16"/>
        <w:szCs w:val="16"/>
      </w:rPr>
      <w:t xml:space="preserve">ZenithOps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Atlas — Confidential Investment Memorandum</dc:title>
  <dc:creator>Kautilya Private Equity</dc:creator>
  <dc:description>CIM for ZenithOps Inc.</dc:description>
  <cp:lastModifiedBy>Un-named</cp:lastModifiedBy>
  <cp:revision>1</cp:revision>
  <dcterms:created xsi:type="dcterms:W3CDTF">2026-04-30T08:09:34.831Z</dcterms:created>
  <dcterms:modified xsi:type="dcterms:W3CDTF">2026-04-30T08:09:34.832Z</dcterms:modified>
</cp:coreProperties>
</file>

<file path=docProps/custom.xml><?xml version="1.0" encoding="utf-8"?>
<Properties xmlns="http://schemas.openxmlformats.org/officeDocument/2006/custom-properties" xmlns:vt="http://schemas.openxmlformats.org/officeDocument/2006/docPropsVTypes"/>
</file>