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r>
        <w:rPr>
          <w:sz w:val="24"/>
          <w:szCs w:val="24"/>
        </w:rPr>
        <w:t xml:space="preserve"/>
      </w:r>
    </w:p>
    <w:p>
      <w:pPr>
        <w:spacing w:after="120" w:before="0" w:line="360"/>
        <w:jc w:val="center"/>
      </w:pPr>
      <w:r>
        <w:rPr>
          <w:b/>
          <w:bCs/>
          <w:sz w:val="26"/>
          <w:szCs w:val="26"/>
        </w:rPr>
        <w:t xml:space="preserve">Zachodniopomorski Uniwersytet Technologiczny w Szczecinie</w:t>
      </w:r>
    </w:p>
    <w:p>
      <w:pPr>
        <w:spacing w:after="120" w:before="0" w:line="360"/>
        <w:jc w:val="center"/>
      </w:pPr>
      <w:r>
        <w:rPr>
          <w:sz w:val="24"/>
          <w:szCs w:val="24"/>
        </w:rPr>
        <w:t xml:space="preserve">Wydział Kształtowania Środowiska i Rolnictwa</w:t>
      </w:r>
    </w:p>
    <w:p>
      <w:pPr>
        <w:spacing w:after="900" w:before="0" w:line="360"/>
        <w:jc w:val="center"/>
      </w:pPr>
      <w:r>
        <w:rPr>
          <w:sz w:val="24"/>
          <w:szCs w:val="24"/>
        </w:rPr>
        <w:t xml:space="preserve">Kierunek: Odnawialne Źródła Energii</w:t>
      </w:r>
    </w:p>
    <w:p>
      <w:pPr>
        <w:spacing w:after="120" w:before="0" w:line="360"/>
        <w:jc w:val="center"/>
      </w:pPr>
      <w:r>
        <w:rPr>
          <w:b/>
          <w:bCs/>
          <w:sz w:val="34"/>
          <w:szCs w:val="34"/>
        </w:rPr>
        <w:t xml:space="preserve">RAPORT Z SYMULACJI TESTOWYCH</w:t>
      </w:r>
    </w:p>
    <w:p>
      <w:pPr>
        <w:spacing w:after="60" w:before="0" w:line="360"/>
        <w:jc w:val="center"/>
      </w:pPr>
      <w:r>
        <w:rPr>
          <w:b/>
          <w:bCs/>
          <w:sz w:val="26"/>
          <w:szCs w:val="26"/>
        </w:rPr>
        <w:t xml:space="preserve">Analiza czasu autonomii szpitala w warunkach awarii sieci</w:t>
      </w:r>
    </w:p>
    <w:p>
      <w:pPr>
        <w:spacing w:after="200" w:before="0" w:line="360"/>
        <w:jc w:val="center"/>
      </w:pPr>
      <w:r>
        <w:rPr>
          <w:b/>
          <w:bCs/>
          <w:sz w:val="26"/>
          <w:szCs w:val="26"/>
        </w:rPr>
        <w:t xml:space="preserve">oraz ocena techniczno-ekonomiczna konfiguracji</w:t>
      </w:r>
    </w:p>
    <w:p>
      <w:pPr>
        <w:spacing w:after="900" w:before="0" w:line="360"/>
        <w:jc w:val="center"/>
      </w:pPr>
      <w:r>
        <w:rPr>
          <w:sz w:val="24"/>
          <w:szCs w:val="24"/>
        </w:rPr>
        <w:t xml:space="preserve">Środowisko obliczeniowe: HOMER Pro x64 3.18.4</w:t>
      </w:r>
    </w:p>
    <w:p>
      <w:pPr>
        <w:spacing w:after="120" w:before="0" w:line="360"/>
        <w:jc w:val="center"/>
      </w:pPr>
      <w:r>
        <w:rPr>
          <w:sz w:val="22"/>
          <w:szCs w:val="22"/>
        </w:rPr>
        <w:t xml:space="preserve">Praca dyplomowa inżynierska:</w:t>
      </w:r>
    </w:p>
    <w:p>
      <w:pPr>
        <w:spacing w:after="1000" w:before="0" w:line="360"/>
        <w:jc w:val="center"/>
      </w:pPr>
      <w:r>
        <w:rPr>
          <w:i/>
          <w:iCs/>
          <w:sz w:val="22"/>
          <w:szCs w:val="22"/>
        </w:rPr>
        <w:t xml:space="preserve">„Projekt i ocena architektury systemu energetycznego szpitala z kogeneracją, OZE oraz magazynami energii w kontekście bezpieczeństwa energetycznego”</w:t>
      </w:r>
    </w:p>
    <w:p>
      <w:pPr>
        <w:spacing w:after="120" w:before="0" w:line="360"/>
        <w:jc w:val="center"/>
      </w:pPr>
      <w:r>
        <w:rPr>
          <w:sz w:val="24"/>
          <w:szCs w:val="24"/>
        </w:rPr>
        <w:t xml:space="preserve">Autor: Hlieb Snitko</w:t>
      </w:r>
    </w:p>
    <w:p>
      <w:pPr>
        <w:spacing w:after="120" w:before="400" w:line="360"/>
        <w:jc w:val="center"/>
      </w:pPr>
      <w:r>
        <w:rPr>
          <w:sz w:val="22"/>
          <w:szCs w:val="22"/>
        </w:rPr>
        <w:t xml:space="preserve">Szczecin, sierpień 2026</w:t>
      </w:r>
    </w:p>
    <w:p>
      <w:r>
        <w:br w:type="page"/>
      </w:r>
    </w:p>
    <w:p>
      <w:pPr>
        <w:pStyle w:val="Heading1"/>
        <w:spacing w:after="240" w:before="240" w:line="360"/>
      </w:pPr>
      <w:r>
        <w:rPr>
          <w:b/>
          <w:bCs/>
          <w:sz w:val="28"/>
          <w:szCs w:val="28"/>
        </w:rPr>
        <w:t xml:space="preserve">Przedmiot i status opracowania</w:t>
      </w:r>
    </w:p>
    <w:p>
      <w:pPr>
        <w:spacing w:after="120" w:before="0" w:line="360"/>
        <w:ind w:firstLine="566"/>
        <w:jc w:val="both"/>
      </w:pPr>
      <w:r>
        <w:rPr>
          <w:sz w:val="24"/>
          <w:szCs w:val="24"/>
        </w:rPr>
        <w:t xml:space="preserve">Niniejszy raport przedstawia wstępną serię symulacji weryfikacyjnych. Obiekt referencyjny nie został jeszcze wybrany, a profile obciążenia mają charakter modelowy. Przedstawione wartości nie stanowią wyników końcowych pracy.</w:t>
      </w:r>
    </w:p>
    <w:p>
      <w:pPr>
        <w:spacing w:after="80" w:before="0" w:line="360"/>
        <w:ind w:firstLine="566"/>
        <w:jc w:val="both"/>
      </w:pPr>
      <w:r>
        <w:rPr>
          <w:sz w:val="24"/>
          <w:szCs w:val="24"/>
        </w:rPr>
        <w:t xml:space="preserve">Zasadnicze pytanie badawcze sformułowano następująco:</w:t>
      </w:r>
    </w:p>
    <w:p>
      <w:pPr>
        <w:spacing w:after="200" w:before="0" w:line="360"/>
        <w:jc w:val="center"/>
      </w:pPr>
      <w:r>
        <w:rPr>
          <w:b/>
          <w:bCs/>
          <w:sz w:val="26"/>
          <w:szCs w:val="26"/>
        </w:rPr>
        <w:t xml:space="preserve">Jak długo szpital jest w stanie funkcjonować bez zasilania z sieci elektroenergetycznej w każdej z trzech analizowanych konfiguracji systemu?</w:t>
      </w:r>
    </w:p>
    <w:p>
      <w:pPr>
        <w:spacing w:after="120" w:before="0" w:line="360"/>
        <w:ind w:firstLine="566"/>
        <w:jc w:val="both"/>
      </w:pPr>
      <w:r>
        <w:rPr>
          <w:sz w:val="24"/>
          <w:szCs w:val="24"/>
        </w:rPr>
        <w:t xml:space="preserve">Wielkością mierzoną jest czas autonomii wyrażony w godzinach, nie zaś wskaźniki ekonomiczne. Analiza obejmuje trzy konfiguracje systemu, każdą poddaną dwóm typom zdarzeń awaryjnych.</w:t>
      </w:r>
    </w:p>
    <w:p>
      <w:pPr>
        <w:pStyle w:val="Heading2"/>
        <w:spacing w:after="180" w:before="240" w:line="360"/>
      </w:pPr>
      <w:r>
        <w:rPr>
          <w:b/>
          <w:bCs/>
          <w:sz w:val="28"/>
          <w:szCs w:val="28"/>
        </w:rPr>
        <w:t xml:space="preserve">Warunki brzegowe analizy</w:t>
      </w:r>
    </w:p>
    <w:tbl>
      <w:tblPr>
        <w:tblW w:type="dxa" w:w="9073"/>
        <w:tblBorders>
          <w:top w:val="single" w:color="auto" w:sz="4"/>
          <w:left w:val="single" w:color="auto" w:sz="4"/>
          <w:bottom w:val="single" w:color="auto" w:sz="4"/>
          <w:right w:val="single" w:color="auto" w:sz="4"/>
          <w:insideH w:val="single" w:color="auto" w:sz="4"/>
          <w:insideV w:val="single" w:color="auto" w:sz="4"/>
        </w:tblBorders>
      </w:tblPr>
      <w:tblGrid>
        <w:gridCol w:w="3811"/>
        <w:gridCol w:w="2178"/>
        <w:gridCol w:w="3085"/>
      </w:tblGrid>
      <w:tr>
        <w:trPr>
          <w:tblHeader/>
        </w:trPr>
        <w:tc>
          <w:tcPr>
            <w:tcW w:type="dxa" w:w="3811"/>
            <w:shd w:fill="D9E2F3" w:val="clear"/>
            <w:tcMar>
              <w:top w:type="dxa" w:w="60"/>
              <w:left w:type="dxa" w:w="80"/>
              <w:bottom w:type="dxa" w:w="60"/>
              <w:right w:type="dxa" w:w="80"/>
            </w:tcMar>
          </w:tcPr>
          <w:p>
            <w:pPr>
              <w:spacing w:after="0" w:line="240"/>
              <w:jc w:val="left"/>
            </w:pPr>
            <w:r>
              <w:rPr>
                <w:b/>
                <w:bCs/>
                <w:sz w:val="20"/>
                <w:szCs w:val="20"/>
              </w:rPr>
              <w:t xml:space="preserve">Parametr</w:t>
            </w:r>
          </w:p>
        </w:tc>
        <w:tc>
          <w:tcPr>
            <w:tcW w:type="dxa" w:w="2178"/>
            <w:shd w:fill="D9E2F3" w:val="clear"/>
            <w:tcMar>
              <w:top w:type="dxa" w:w="60"/>
              <w:left w:type="dxa" w:w="80"/>
              <w:bottom w:type="dxa" w:w="60"/>
              <w:right w:type="dxa" w:w="80"/>
            </w:tcMar>
          </w:tcPr>
          <w:p>
            <w:pPr>
              <w:spacing w:after="0" w:line="240"/>
              <w:jc w:val="center"/>
            </w:pPr>
            <w:r>
              <w:rPr>
                <w:b/>
                <w:bCs/>
                <w:sz w:val="20"/>
                <w:szCs w:val="20"/>
              </w:rPr>
              <w:t xml:space="preserve">Wartość</w:t>
            </w:r>
          </w:p>
        </w:tc>
        <w:tc>
          <w:tcPr>
            <w:tcW w:type="dxa" w:w="3085"/>
            <w:shd w:fill="D9E2F3" w:val="clear"/>
            <w:tcMar>
              <w:top w:type="dxa" w:w="60"/>
              <w:left w:type="dxa" w:w="80"/>
              <w:bottom w:type="dxa" w:w="60"/>
              <w:right w:type="dxa" w:w="80"/>
            </w:tcMar>
          </w:tcPr>
          <w:p>
            <w:pPr>
              <w:spacing w:after="0" w:line="240"/>
              <w:jc w:val="center"/>
            </w:pPr>
            <w:r>
              <w:rPr>
                <w:b/>
                <w:bCs/>
                <w:sz w:val="20"/>
                <w:szCs w:val="20"/>
              </w:rPr>
              <w:t xml:space="preserve">Uwagi</w:t>
            </w:r>
          </w:p>
        </w:tc>
      </w:tr>
      <w:tr>
        <w:trPr>
          <w:tblHeader w:val="false"/>
        </w:trPr>
        <w:tc>
          <w:tcPr>
            <w:tcW w:type="dxa" w:w="3811"/>
            <w:tcMar>
              <w:top w:type="dxa" w:w="60"/>
              <w:left w:type="dxa" w:w="80"/>
              <w:bottom w:type="dxa" w:w="60"/>
              <w:right w:type="dxa" w:w="80"/>
            </w:tcMar>
          </w:tcPr>
          <w:p>
            <w:pPr>
              <w:spacing w:after="0" w:line="240"/>
              <w:jc w:val="left"/>
            </w:pPr>
            <w:r>
              <w:rPr>
                <w:sz w:val="20"/>
                <w:szCs w:val="20"/>
              </w:rPr>
              <w:t xml:space="preserve">Okres awarii</w:t>
            </w:r>
          </w:p>
        </w:tc>
        <w:tc>
          <w:tcPr>
            <w:tcW w:type="dxa" w:w="2178"/>
            <w:tcMar>
              <w:top w:type="dxa" w:w="60"/>
              <w:left w:type="dxa" w:w="80"/>
              <w:bottom w:type="dxa" w:w="60"/>
              <w:right w:type="dxa" w:w="80"/>
            </w:tcMar>
          </w:tcPr>
          <w:p>
            <w:pPr>
              <w:spacing w:after="0" w:line="240"/>
              <w:jc w:val="center"/>
            </w:pPr>
            <w:r>
              <w:rPr>
                <w:sz w:val="20"/>
                <w:szCs w:val="20"/>
              </w:rPr>
              <w:t xml:space="preserve">15–17 stycznia</w:t>
            </w:r>
          </w:p>
        </w:tc>
        <w:tc>
          <w:tcPr>
            <w:tcW w:type="dxa" w:w="3085"/>
            <w:tcMar>
              <w:top w:type="dxa" w:w="60"/>
              <w:left w:type="dxa" w:w="80"/>
              <w:bottom w:type="dxa" w:w="60"/>
              <w:right w:type="dxa" w:w="80"/>
            </w:tcMar>
          </w:tcPr>
          <w:p>
            <w:pPr>
              <w:spacing w:after="0" w:line="240"/>
              <w:jc w:val="center"/>
            </w:pPr>
            <w:r>
              <w:rPr>
                <w:sz w:val="20"/>
                <w:szCs w:val="20"/>
              </w:rPr>
              <w:t xml:space="preserve">Przypadek najbardziej niekorzystny</w:t>
            </w:r>
          </w:p>
        </w:tc>
      </w:tr>
      <w:tr>
        <w:trPr>
          <w:tblHeader w:val="false"/>
        </w:trPr>
        <w:tc>
          <w:tcPr>
            <w:tcW w:type="dxa" w:w="3811"/>
            <w:tcMar>
              <w:top w:type="dxa" w:w="60"/>
              <w:left w:type="dxa" w:w="80"/>
              <w:bottom w:type="dxa" w:w="60"/>
              <w:right w:type="dxa" w:w="80"/>
            </w:tcMar>
          </w:tcPr>
          <w:p>
            <w:pPr>
              <w:spacing w:after="0" w:line="240"/>
              <w:jc w:val="left"/>
            </w:pPr>
            <w:r>
              <w:rPr>
                <w:sz w:val="20"/>
                <w:szCs w:val="20"/>
              </w:rPr>
              <w:t xml:space="preserve">Obciążenie średnie w czasie awarii</w:t>
            </w:r>
          </w:p>
        </w:tc>
        <w:tc>
          <w:tcPr>
            <w:tcW w:type="dxa" w:w="2178"/>
            <w:tcMar>
              <w:top w:type="dxa" w:w="60"/>
              <w:left w:type="dxa" w:w="80"/>
              <w:bottom w:type="dxa" w:w="60"/>
              <w:right w:type="dxa" w:w="80"/>
            </w:tcMar>
          </w:tcPr>
          <w:p>
            <w:pPr>
              <w:spacing w:after="0" w:line="240"/>
              <w:jc w:val="center"/>
            </w:pPr>
            <w:r>
              <w:rPr>
                <w:sz w:val="20"/>
                <w:szCs w:val="20"/>
              </w:rPr>
              <w:t xml:space="preserve">121,7 kW</w:t>
            </w:r>
          </w:p>
        </w:tc>
        <w:tc>
          <w:tcPr>
            <w:tcW w:type="dxa" w:w="3085"/>
            <w:tcMar>
              <w:top w:type="dxa" w:w="60"/>
              <w:left w:type="dxa" w:w="80"/>
              <w:bottom w:type="dxa" w:w="60"/>
              <w:right w:type="dxa" w:w="80"/>
            </w:tcMar>
          </w:tcPr>
          <w:p>
            <w:pPr>
              <w:spacing w:after="0" w:line="240"/>
              <w:jc w:val="center"/>
            </w:pPr>
            <w:r>
              <w:rPr>
                <w:sz w:val="20"/>
                <w:szCs w:val="20"/>
              </w:rPr>
              <w:t xml:space="preserve">Profil styczniowy</w:t>
            </w:r>
          </w:p>
        </w:tc>
      </w:tr>
      <w:tr>
        <w:trPr>
          <w:tblHeader w:val="false"/>
        </w:trPr>
        <w:tc>
          <w:tcPr>
            <w:tcW w:type="dxa" w:w="3811"/>
            <w:tcMar>
              <w:top w:type="dxa" w:w="60"/>
              <w:left w:type="dxa" w:w="80"/>
              <w:bottom w:type="dxa" w:w="60"/>
              <w:right w:type="dxa" w:w="80"/>
            </w:tcMar>
          </w:tcPr>
          <w:p>
            <w:pPr>
              <w:spacing w:after="0" w:line="240"/>
              <w:jc w:val="left"/>
            </w:pPr>
            <w:r>
              <w:rPr>
                <w:sz w:val="20"/>
                <w:szCs w:val="20"/>
              </w:rPr>
              <w:t xml:space="preserve">Obciążenie szczytowe</w:t>
            </w:r>
          </w:p>
        </w:tc>
        <w:tc>
          <w:tcPr>
            <w:tcW w:type="dxa" w:w="2178"/>
            <w:tcMar>
              <w:top w:type="dxa" w:w="60"/>
              <w:left w:type="dxa" w:w="80"/>
              <w:bottom w:type="dxa" w:w="60"/>
              <w:right w:type="dxa" w:w="80"/>
            </w:tcMar>
          </w:tcPr>
          <w:p>
            <w:pPr>
              <w:spacing w:after="0" w:line="240"/>
              <w:jc w:val="center"/>
            </w:pPr>
            <w:r>
              <w:rPr>
                <w:sz w:val="20"/>
                <w:szCs w:val="20"/>
              </w:rPr>
              <w:t xml:space="preserve">155,3 kW</w:t>
            </w:r>
          </w:p>
        </w:tc>
        <w:tc>
          <w:tcPr>
            <w:tcW w:type="dxa" w:w="3085"/>
            <w:tcMar>
              <w:top w:type="dxa" w:w="60"/>
              <w:left w:type="dxa" w:w="80"/>
              <w:bottom w:type="dxa" w:w="60"/>
              <w:right w:type="dxa" w:w="80"/>
            </w:tcMar>
          </w:tcPr>
          <w:p>
            <w:pPr>
              <w:spacing w:after="0" w:line="240"/>
              <w:jc w:val="center"/>
            </w:pPr>
            <w:r>
              <w:rPr>
                <w:sz w:val="20"/>
                <w:szCs w:val="20"/>
              </w:rPr>
              <w:t xml:space="preserve">—</w:t>
            </w:r>
          </w:p>
        </w:tc>
      </w:tr>
      <w:tr>
        <w:trPr>
          <w:tblHeader w:val="false"/>
        </w:trPr>
        <w:tc>
          <w:tcPr>
            <w:tcW w:type="dxa" w:w="3811"/>
            <w:tcMar>
              <w:top w:type="dxa" w:w="60"/>
              <w:left w:type="dxa" w:w="80"/>
              <w:bottom w:type="dxa" w:w="60"/>
              <w:right w:type="dxa" w:w="80"/>
            </w:tcMar>
          </w:tcPr>
          <w:p>
            <w:pPr>
              <w:spacing w:after="0" w:line="240"/>
              <w:jc w:val="left"/>
            </w:pPr>
            <w:r>
              <w:rPr>
                <w:sz w:val="20"/>
                <w:szCs w:val="20"/>
              </w:rPr>
              <w:t xml:space="preserve">Obciążenie minimalne</w:t>
            </w:r>
          </w:p>
        </w:tc>
        <w:tc>
          <w:tcPr>
            <w:tcW w:type="dxa" w:w="2178"/>
            <w:tcMar>
              <w:top w:type="dxa" w:w="60"/>
              <w:left w:type="dxa" w:w="80"/>
              <w:bottom w:type="dxa" w:w="60"/>
              <w:right w:type="dxa" w:w="80"/>
            </w:tcMar>
          </w:tcPr>
          <w:p>
            <w:pPr>
              <w:spacing w:after="0" w:line="240"/>
              <w:jc w:val="center"/>
            </w:pPr>
            <w:r>
              <w:rPr>
                <w:sz w:val="20"/>
                <w:szCs w:val="20"/>
              </w:rPr>
              <w:t xml:space="preserve">88,1 kW</w:t>
            </w:r>
          </w:p>
        </w:tc>
        <w:tc>
          <w:tcPr>
            <w:tcW w:type="dxa" w:w="3085"/>
            <w:tcMar>
              <w:top w:type="dxa" w:w="60"/>
              <w:left w:type="dxa" w:w="80"/>
              <w:bottom w:type="dxa" w:w="60"/>
              <w:right w:type="dxa" w:w="80"/>
            </w:tcMar>
          </w:tcPr>
          <w:p>
            <w:pPr>
              <w:spacing w:after="0" w:line="240"/>
              <w:jc w:val="center"/>
            </w:pPr>
            <w:r>
              <w:rPr>
                <w:sz w:val="20"/>
                <w:szCs w:val="20"/>
              </w:rPr>
              <w:t xml:space="preserve">Doliny nocne</w:t>
            </w:r>
          </w:p>
        </w:tc>
      </w:tr>
      <w:tr>
        <w:trPr>
          <w:tblHeader w:val="false"/>
        </w:trPr>
        <w:tc>
          <w:tcPr>
            <w:tcW w:type="dxa" w:w="3811"/>
            <w:tcMar>
              <w:top w:type="dxa" w:w="60"/>
              <w:left w:type="dxa" w:w="80"/>
              <w:bottom w:type="dxa" w:w="60"/>
              <w:right w:type="dxa" w:w="80"/>
            </w:tcMar>
          </w:tcPr>
          <w:p>
            <w:pPr>
              <w:spacing w:after="0" w:line="240"/>
              <w:jc w:val="left"/>
            </w:pPr>
            <w:r>
              <w:rPr>
                <w:sz w:val="20"/>
                <w:szCs w:val="20"/>
              </w:rPr>
              <w:t xml:space="preserve">Energia do dostarczenia w 72 h</w:t>
            </w:r>
          </w:p>
        </w:tc>
        <w:tc>
          <w:tcPr>
            <w:tcW w:type="dxa" w:w="2178"/>
            <w:tcMar>
              <w:top w:type="dxa" w:w="60"/>
              <w:left w:type="dxa" w:w="80"/>
              <w:bottom w:type="dxa" w:w="60"/>
              <w:right w:type="dxa" w:w="80"/>
            </w:tcMar>
          </w:tcPr>
          <w:p>
            <w:pPr>
              <w:spacing w:after="0" w:line="240"/>
              <w:jc w:val="center"/>
            </w:pPr>
            <w:r>
              <w:rPr>
                <w:sz w:val="20"/>
                <w:szCs w:val="20"/>
              </w:rPr>
              <w:t xml:space="preserve">8 762 kWh</w:t>
            </w:r>
          </w:p>
        </w:tc>
        <w:tc>
          <w:tcPr>
            <w:tcW w:type="dxa" w:w="3085"/>
            <w:tcMar>
              <w:top w:type="dxa" w:w="60"/>
              <w:left w:type="dxa" w:w="80"/>
              <w:bottom w:type="dxa" w:w="60"/>
              <w:right w:type="dxa" w:w="80"/>
            </w:tcMar>
          </w:tcPr>
          <w:p>
            <w:pPr>
              <w:spacing w:after="0" w:line="240"/>
              <w:jc w:val="center"/>
            </w:pPr>
            <w:r>
              <w:rPr>
                <w:sz w:val="20"/>
                <w:szCs w:val="20"/>
              </w:rPr>
              <w:t xml:space="preserve">Pełne obciążenie obiektu</w:t>
            </w:r>
          </w:p>
        </w:tc>
      </w:tr>
      <w:tr>
        <w:trPr>
          <w:tblHeader w:val="false"/>
        </w:trPr>
        <w:tc>
          <w:tcPr>
            <w:tcW w:type="dxa" w:w="3811"/>
            <w:tcMar>
              <w:top w:type="dxa" w:w="60"/>
              <w:left w:type="dxa" w:w="80"/>
              <w:bottom w:type="dxa" w:w="60"/>
              <w:right w:type="dxa" w:w="80"/>
            </w:tcMar>
          </w:tcPr>
          <w:p>
            <w:pPr>
              <w:spacing w:after="0" w:line="240"/>
              <w:jc w:val="left"/>
            </w:pPr>
            <w:r>
              <w:rPr>
                <w:sz w:val="20"/>
                <w:szCs w:val="20"/>
              </w:rPr>
              <w:t xml:space="preserve">Odbiory krytyczne (30% mocy szczyt.)</w:t>
            </w:r>
          </w:p>
        </w:tc>
        <w:tc>
          <w:tcPr>
            <w:tcW w:type="dxa" w:w="2178"/>
            <w:tcMar>
              <w:top w:type="dxa" w:w="60"/>
              <w:left w:type="dxa" w:w="80"/>
              <w:bottom w:type="dxa" w:w="60"/>
              <w:right w:type="dxa" w:w="80"/>
            </w:tcMar>
          </w:tcPr>
          <w:p>
            <w:pPr>
              <w:spacing w:after="0" w:line="240"/>
              <w:jc w:val="center"/>
            </w:pPr>
            <w:r>
              <w:rPr>
                <w:sz w:val="20"/>
                <w:szCs w:val="20"/>
              </w:rPr>
              <w:t xml:space="preserve">47,9 kW</w:t>
            </w:r>
          </w:p>
        </w:tc>
        <w:tc>
          <w:tcPr>
            <w:tcW w:type="dxa" w:w="3085"/>
            <w:tcMar>
              <w:top w:type="dxa" w:w="60"/>
              <w:left w:type="dxa" w:w="80"/>
              <w:bottom w:type="dxa" w:w="60"/>
              <w:right w:type="dxa" w:w="80"/>
            </w:tcMar>
          </w:tcPr>
          <w:p>
            <w:pPr>
              <w:spacing w:after="0" w:line="240"/>
              <w:jc w:val="center"/>
            </w:pPr>
            <w:r>
              <w:rPr>
                <w:sz w:val="20"/>
                <w:szCs w:val="20"/>
              </w:rPr>
              <w:t xml:space="preserve">Wymóg Rozp. MZ § 30</w:t>
            </w:r>
          </w:p>
        </w:tc>
      </w:tr>
      <w:tr>
        <w:trPr>
          <w:tblHeader w:val="false"/>
        </w:trPr>
        <w:tc>
          <w:tcPr>
            <w:tcW w:type="dxa" w:w="3811"/>
            <w:tcMar>
              <w:top w:type="dxa" w:w="60"/>
              <w:left w:type="dxa" w:w="80"/>
              <w:bottom w:type="dxa" w:w="60"/>
              <w:right w:type="dxa" w:w="80"/>
            </w:tcMar>
          </w:tcPr>
          <w:p>
            <w:pPr>
              <w:spacing w:after="0" w:line="240"/>
              <w:jc w:val="left"/>
            </w:pPr>
            <w:r>
              <w:rPr>
                <w:sz w:val="20"/>
                <w:szCs w:val="20"/>
              </w:rPr>
              <w:t xml:space="preserve">Energia krytyczna w 72 h</w:t>
            </w:r>
          </w:p>
        </w:tc>
        <w:tc>
          <w:tcPr>
            <w:tcW w:type="dxa" w:w="2178"/>
            <w:tcMar>
              <w:top w:type="dxa" w:w="60"/>
              <w:left w:type="dxa" w:w="80"/>
              <w:bottom w:type="dxa" w:w="60"/>
              <w:right w:type="dxa" w:w="80"/>
            </w:tcMar>
          </w:tcPr>
          <w:p>
            <w:pPr>
              <w:spacing w:after="0" w:line="240"/>
              <w:jc w:val="center"/>
            </w:pPr>
            <w:r>
              <w:rPr>
                <w:sz w:val="20"/>
                <w:szCs w:val="20"/>
              </w:rPr>
              <w:t xml:space="preserve">3 451 kWh</w:t>
            </w:r>
          </w:p>
        </w:tc>
        <w:tc>
          <w:tcPr>
            <w:tcW w:type="dxa" w:w="3085"/>
            <w:tcMar>
              <w:top w:type="dxa" w:w="60"/>
              <w:left w:type="dxa" w:w="80"/>
              <w:bottom w:type="dxa" w:w="60"/>
              <w:right w:type="dxa" w:w="80"/>
            </w:tcMar>
          </w:tcPr>
          <w:p>
            <w:pPr>
              <w:spacing w:after="0" w:line="240"/>
              <w:jc w:val="center"/>
            </w:pPr>
            <w:r>
              <w:rPr>
                <w:sz w:val="20"/>
                <w:szCs w:val="20"/>
              </w:rPr>
              <w:t xml:space="preserve">Tryb awaryjny z odrzuceniem obciążeń</w:t>
            </w:r>
          </w:p>
        </w:tc>
      </w:tr>
    </w:tbl>
    <w:p>
      <w:pPr>
        <w:spacing w:after="200" w:before="80" w:line="240"/>
        <w:jc w:val="center"/>
      </w:pPr>
      <w:r>
        <w:rPr>
          <w:i/>
          <w:iCs/>
          <w:sz w:val="20"/>
          <w:szCs w:val="20"/>
        </w:rPr>
        <w:t xml:space="preserve">Tabela 1. Warunki brzegowe analizy czasu autonomii</w:t>
      </w:r>
    </w:p>
    <w:p>
      <w:pPr>
        <w:spacing w:after="60" w:before="120"/>
        <w:jc w:val="center"/>
      </w:pPr>
      <w:r>
        <w:drawing>
          <wp:inline distT="0" distB="0" distL="0" distR="0">
            <wp:extent cx="44767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2238375"/>
                    </a:xfrm>
                    <a:prstGeom prst="rect">
                      <a:avLst/>
                    </a:prstGeom>
                  </pic:spPr>
                </pic:pic>
              </a:graphicData>
            </a:graphic>
          </wp:inline>
        </w:drawing>
      </w:r>
    </w:p>
    <w:p>
      <w:pPr>
        <w:spacing w:after="200" w:before="80" w:line="240"/>
        <w:jc w:val="center"/>
      </w:pPr>
      <w:r>
        <w:rPr>
          <w:i/>
          <w:iCs/>
          <w:sz w:val="20"/>
          <w:szCs w:val="20"/>
        </w:rPr>
        <w:t xml:space="preserve">Rysunek 1. Obciążenie szpitala podczas awarii 72 h a moce dostępnych źródeł</w:t>
      </w:r>
    </w:p>
    <w:p>
      <w:pPr>
        <w:spacing w:after="120" w:before="0" w:line="360"/>
        <w:ind w:firstLine="566"/>
        <w:jc w:val="both"/>
      </w:pPr>
      <w:r>
        <w:rPr>
          <w:sz w:val="24"/>
          <w:szCs w:val="24"/>
        </w:rPr>
        <w:t xml:space="preserve">Termin styczniowy przyjęto celowo: napromieniowanie słoneczne osiąga wówczas minimum roczne (0,73 kWh/m²/d wobec 4,96 kWh/m²/d w maju), a obciążenie cieplne — maksimum. Wyniki uzyskane dla tego okresu stanowią dolne oszacowanie zdolności systemu.</w:t>
      </w:r>
    </w:p>
    <w:p>
      <w:pPr>
        <w:pStyle w:val="Heading2"/>
        <w:spacing w:after="180" w:before="240" w:line="360"/>
      </w:pPr>
      <w:r>
        <w:rPr>
          <w:b/>
          <w:bCs/>
          <w:sz w:val="28"/>
          <w:szCs w:val="28"/>
        </w:rPr>
        <w:t xml:space="preserve">Typy zdarzeń awaryjnych</w:t>
      </w:r>
    </w:p>
    <w:tbl>
      <w:tblPr>
        <w:tblW w:type="dxa" w:w="9073"/>
        <w:tblBorders>
          <w:top w:val="single" w:color="auto" w:sz="4"/>
          <w:left w:val="single" w:color="auto" w:sz="4"/>
          <w:bottom w:val="single" w:color="auto" w:sz="4"/>
          <w:right w:val="single" w:color="auto" w:sz="4"/>
          <w:insideH w:val="single" w:color="auto" w:sz="4"/>
          <w:insideV w:val="single" w:color="auto" w:sz="4"/>
        </w:tblBorders>
      </w:tblPr>
      <w:tblGrid>
        <w:gridCol w:w="2722"/>
        <w:gridCol w:w="4355"/>
        <w:gridCol w:w="1996"/>
      </w:tblGrid>
      <w:tr>
        <w:trPr>
          <w:tblHeader/>
        </w:trPr>
        <w:tc>
          <w:tcPr>
            <w:tcW w:type="dxa" w:w="2722"/>
            <w:shd w:fill="D9E2F3" w:val="clear"/>
            <w:tcMar>
              <w:top w:type="dxa" w:w="60"/>
              <w:left w:type="dxa" w:w="80"/>
              <w:bottom w:type="dxa" w:w="60"/>
              <w:right w:type="dxa" w:w="80"/>
            </w:tcMar>
          </w:tcPr>
          <w:p>
            <w:pPr>
              <w:spacing w:after="0" w:line="240"/>
              <w:jc w:val="left"/>
            </w:pPr>
            <w:r>
              <w:rPr>
                <w:b/>
                <w:bCs/>
                <w:sz w:val="20"/>
                <w:szCs w:val="20"/>
              </w:rPr>
              <w:t xml:space="preserve">Oznaczenie</w:t>
            </w:r>
          </w:p>
        </w:tc>
        <w:tc>
          <w:tcPr>
            <w:tcW w:type="dxa" w:w="4355"/>
            <w:shd w:fill="D9E2F3" w:val="clear"/>
            <w:tcMar>
              <w:top w:type="dxa" w:w="60"/>
              <w:left w:type="dxa" w:w="80"/>
              <w:bottom w:type="dxa" w:w="60"/>
              <w:right w:type="dxa" w:w="80"/>
            </w:tcMar>
          </w:tcPr>
          <w:p>
            <w:pPr>
              <w:spacing w:after="0" w:line="240"/>
              <w:jc w:val="center"/>
            </w:pPr>
            <w:r>
              <w:rPr>
                <w:b/>
                <w:bCs/>
                <w:sz w:val="20"/>
                <w:szCs w:val="20"/>
              </w:rPr>
              <w:t xml:space="preserve">Charakterystyka</w:t>
            </w:r>
          </w:p>
        </w:tc>
        <w:tc>
          <w:tcPr>
            <w:tcW w:type="dxa" w:w="1996"/>
            <w:shd w:fill="D9E2F3" w:val="clear"/>
            <w:tcMar>
              <w:top w:type="dxa" w:w="60"/>
              <w:left w:type="dxa" w:w="80"/>
              <w:bottom w:type="dxa" w:w="60"/>
              <w:right w:type="dxa" w:w="80"/>
            </w:tcMar>
          </w:tcPr>
          <w:p>
            <w:pPr>
              <w:spacing w:after="0" w:line="240"/>
              <w:jc w:val="center"/>
            </w:pPr>
            <w:r>
              <w:rPr>
                <w:b/>
                <w:bCs/>
                <w:sz w:val="20"/>
                <w:szCs w:val="20"/>
              </w:rPr>
              <w:t xml:space="preserve">Czas trwania</w:t>
            </w:r>
          </w:p>
        </w:tc>
      </w:tr>
      <w:tr>
        <w:trPr>
          <w:tblHeader w:val="false"/>
        </w:trPr>
        <w:tc>
          <w:tcPr>
            <w:tcW w:type="dxa" w:w="2722"/>
            <w:tcMar>
              <w:top w:type="dxa" w:w="60"/>
              <w:left w:type="dxa" w:w="80"/>
              <w:bottom w:type="dxa" w:w="60"/>
              <w:right w:type="dxa" w:w="80"/>
            </w:tcMar>
          </w:tcPr>
          <w:p>
            <w:pPr>
              <w:spacing w:after="0" w:line="240"/>
              <w:jc w:val="left"/>
            </w:pPr>
            <w:r>
              <w:rPr>
                <w:sz w:val="20"/>
                <w:szCs w:val="20"/>
              </w:rPr>
              <w:t xml:space="preserve">A1 — Awaria długotrwała (black-sky)</w:t>
            </w:r>
          </w:p>
        </w:tc>
        <w:tc>
          <w:tcPr>
            <w:tcW w:type="dxa" w:w="4355"/>
            <w:tcMar>
              <w:top w:type="dxa" w:w="60"/>
              <w:left w:type="dxa" w:w="80"/>
              <w:bottom w:type="dxa" w:w="60"/>
              <w:right w:type="dxa" w:w="80"/>
            </w:tcMar>
          </w:tcPr>
          <w:p>
            <w:pPr>
              <w:spacing w:after="0" w:line="240"/>
              <w:jc w:val="center"/>
            </w:pPr>
            <w:r>
              <w:rPr>
                <w:sz w:val="20"/>
                <w:szCs w:val="20"/>
              </w:rPr>
              <w:t xml:space="preserve">Pojedyncze zdarzenie katastrofalne, dezorganizacja infrastruktury</w:t>
            </w:r>
          </w:p>
        </w:tc>
        <w:tc>
          <w:tcPr>
            <w:tcW w:type="dxa" w:w="1996"/>
            <w:tcMar>
              <w:top w:type="dxa" w:w="60"/>
              <w:left w:type="dxa" w:w="80"/>
              <w:bottom w:type="dxa" w:w="60"/>
              <w:right w:type="dxa" w:w="80"/>
            </w:tcMar>
          </w:tcPr>
          <w:p>
            <w:pPr>
              <w:spacing w:after="0" w:line="240"/>
              <w:jc w:val="center"/>
            </w:pPr>
            <w:r>
              <w:rPr>
                <w:sz w:val="20"/>
                <w:szCs w:val="20"/>
              </w:rPr>
              <w:t xml:space="preserve">72 h</w:t>
            </w:r>
          </w:p>
        </w:tc>
      </w:tr>
      <w:tr>
        <w:trPr>
          <w:tblHeader w:val="false"/>
        </w:trPr>
        <w:tc>
          <w:tcPr>
            <w:tcW w:type="dxa" w:w="2722"/>
            <w:tcMar>
              <w:top w:type="dxa" w:w="60"/>
              <w:left w:type="dxa" w:w="80"/>
              <w:bottom w:type="dxa" w:w="60"/>
              <w:right w:type="dxa" w:w="80"/>
            </w:tcMar>
          </w:tcPr>
          <w:p>
            <w:pPr>
              <w:spacing w:after="0" w:line="240"/>
              <w:jc w:val="left"/>
            </w:pPr>
            <w:r>
              <w:rPr>
                <w:sz w:val="20"/>
                <w:szCs w:val="20"/>
              </w:rPr>
              <w:t xml:space="preserve">A2 — Serie przerw krótkotrwałych</w:t>
            </w:r>
          </w:p>
        </w:tc>
        <w:tc>
          <w:tcPr>
            <w:tcW w:type="dxa" w:w="4355"/>
            <w:tcMar>
              <w:top w:type="dxa" w:w="60"/>
              <w:left w:type="dxa" w:w="80"/>
              <w:bottom w:type="dxa" w:w="60"/>
              <w:right w:type="dxa" w:w="80"/>
            </w:tcMar>
          </w:tcPr>
          <w:p>
            <w:pPr>
              <w:spacing w:after="0" w:line="240"/>
              <w:jc w:val="center"/>
            </w:pPr>
            <w:r>
              <w:rPr>
                <w:sz w:val="20"/>
                <w:szCs w:val="20"/>
              </w:rPr>
              <w:t xml:space="preserve">Pięć przerw rozłożonych w roku wg statystyki sieci dystrybucyjnych</w:t>
            </w:r>
          </w:p>
        </w:tc>
        <w:tc>
          <w:tcPr>
            <w:tcW w:type="dxa" w:w="1996"/>
            <w:tcMar>
              <w:top w:type="dxa" w:w="60"/>
              <w:left w:type="dxa" w:w="80"/>
              <w:bottom w:type="dxa" w:w="60"/>
              <w:right w:type="dxa" w:w="80"/>
            </w:tcMar>
          </w:tcPr>
          <w:p>
            <w:pPr>
              <w:spacing w:after="0" w:line="240"/>
              <w:jc w:val="center"/>
            </w:pPr>
            <w:r>
              <w:rPr>
                <w:sz w:val="20"/>
                <w:szCs w:val="20"/>
              </w:rPr>
              <w:t xml:space="preserve">2–7 h każda, łącznie 21 h</w:t>
            </w:r>
          </w:p>
        </w:tc>
      </w:tr>
    </w:tbl>
    <w:p>
      <w:pPr>
        <w:spacing w:after="200" w:before="80" w:line="240"/>
        <w:jc w:val="center"/>
      </w:pPr>
      <w:r>
        <w:rPr>
          <w:i/>
          <w:iCs/>
          <w:sz w:val="20"/>
          <w:szCs w:val="20"/>
        </w:rPr>
        <w:t xml:space="preserve">Tabela 2. Analizowane typy zdarzeń awaryjnych</w:t>
      </w:r>
    </w:p>
    <w:p>
      <w:r>
        <w:br w:type="page"/>
      </w:r>
    </w:p>
    <w:p>
      <w:pPr>
        <w:pStyle w:val="Heading1"/>
        <w:spacing w:after="240" w:before="240" w:line="360"/>
      </w:pPr>
      <w:r>
        <w:rPr>
          <w:b/>
          <w:bCs/>
          <w:sz w:val="28"/>
          <w:szCs w:val="28"/>
        </w:rPr>
        <w:t xml:space="preserve">1. Konfiguracja K1 — układ bazowy</w:t>
      </w:r>
    </w:p>
    <w:p>
      <w:pPr>
        <w:spacing w:after="120" w:before="0" w:line="360"/>
        <w:ind w:firstLine="566"/>
        <w:jc w:val="both"/>
      </w:pPr>
      <w:r>
        <w:rPr>
          <w:sz w:val="24"/>
          <w:szCs w:val="24"/>
        </w:rPr>
        <w:t xml:space="preserve">Architektura: sieć elektroenergetyczna + agregat prądotwórczy z silnikiem wysokoprężnym o mocy 180 kW. Rozwiązanie odpowiadające stanowi zastanemu w większości polskich szpitali.</w:t>
      </w:r>
    </w:p>
    <w:p>
      <w:pPr>
        <w:pStyle w:val="Heading2"/>
        <w:spacing w:after="180" w:before="240" w:line="360"/>
      </w:pPr>
      <w:r>
        <w:rPr>
          <w:b/>
          <w:bCs/>
          <w:sz w:val="28"/>
          <w:szCs w:val="28"/>
        </w:rPr>
        <w:t xml:space="preserve">1.1. Wariant bez agregatu — punkt odniesienia</w:t>
      </w:r>
    </w:p>
    <w:tbl>
      <w:tblPr>
        <w:tblW w:type="dxa" w:w="9073"/>
        <w:tblBorders>
          <w:top w:val="single" w:color="auto" w:sz="4"/>
          <w:left w:val="single" w:color="auto" w:sz="4"/>
          <w:bottom w:val="single" w:color="auto" w:sz="4"/>
          <w:right w:val="single" w:color="auto" w:sz="4"/>
          <w:insideH w:val="single" w:color="auto" w:sz="4"/>
          <w:insideV w:val="single" w:color="auto" w:sz="4"/>
        </w:tblBorders>
      </w:tblPr>
      <w:tblGrid>
        <w:gridCol w:w="3266"/>
        <w:gridCol w:w="2903"/>
        <w:gridCol w:w="2903"/>
      </w:tblGrid>
      <w:tr>
        <w:trPr>
          <w:tblHeader/>
        </w:trPr>
        <w:tc>
          <w:tcPr>
            <w:tcW w:type="dxa" w:w="3266"/>
            <w:shd w:fill="D9E2F3" w:val="clear"/>
            <w:tcMar>
              <w:top w:type="dxa" w:w="60"/>
              <w:left w:type="dxa" w:w="80"/>
              <w:bottom w:type="dxa" w:w="60"/>
              <w:right w:type="dxa" w:w="80"/>
            </w:tcMar>
          </w:tcPr>
          <w:p>
            <w:pPr>
              <w:spacing w:after="0" w:line="240"/>
              <w:jc w:val="left"/>
            </w:pPr>
            <w:r>
              <w:rPr>
                <w:b/>
                <w:bCs/>
                <w:sz w:val="20"/>
                <w:szCs w:val="20"/>
              </w:rPr>
              <w:t xml:space="preserve">Wielkość</w:t>
            </w:r>
          </w:p>
        </w:tc>
        <w:tc>
          <w:tcPr>
            <w:tcW w:type="dxa" w:w="2903"/>
            <w:shd w:fill="D9E2F3" w:val="clear"/>
            <w:tcMar>
              <w:top w:type="dxa" w:w="60"/>
              <w:left w:type="dxa" w:w="80"/>
              <w:bottom w:type="dxa" w:w="60"/>
              <w:right w:type="dxa" w:w="80"/>
            </w:tcMar>
          </w:tcPr>
          <w:p>
            <w:pPr>
              <w:spacing w:after="0" w:line="240"/>
              <w:jc w:val="center"/>
            </w:pPr>
            <w:r>
              <w:rPr>
                <w:b/>
                <w:bCs/>
                <w:sz w:val="20"/>
                <w:szCs w:val="20"/>
              </w:rPr>
              <w:t xml:space="preserve">Awaria A1 (72 h)</w:t>
            </w:r>
          </w:p>
        </w:tc>
        <w:tc>
          <w:tcPr>
            <w:tcW w:type="dxa" w:w="2903"/>
            <w:shd w:fill="D9E2F3" w:val="clear"/>
            <w:tcMar>
              <w:top w:type="dxa" w:w="60"/>
              <w:left w:type="dxa" w:w="80"/>
              <w:bottom w:type="dxa" w:w="60"/>
              <w:right w:type="dxa" w:w="80"/>
            </w:tcMar>
          </w:tcPr>
          <w:p>
            <w:pPr>
              <w:spacing w:after="0" w:line="240"/>
              <w:jc w:val="center"/>
            </w:pPr>
            <w:r>
              <w:rPr>
                <w:b/>
                <w:bCs/>
                <w:sz w:val="20"/>
                <w:szCs w:val="20"/>
              </w:rPr>
              <w:t xml:space="preserve">Awaria A2 (21 h)</w:t>
            </w:r>
          </w:p>
        </w:tc>
      </w:tr>
      <w:tr>
        <w:trPr>
          <w:tblHeader w:val="false"/>
        </w:trPr>
        <w:tc>
          <w:tcPr>
            <w:tcW w:type="dxa" w:w="3266"/>
            <w:shd w:fill="FCE4E4" w:val="clear"/>
            <w:tcMar>
              <w:top w:type="dxa" w:w="60"/>
              <w:left w:type="dxa" w:w="80"/>
              <w:bottom w:type="dxa" w:w="60"/>
              <w:right w:type="dxa" w:w="80"/>
            </w:tcMar>
          </w:tcPr>
          <w:p>
            <w:pPr>
              <w:spacing w:after="0" w:line="240"/>
              <w:jc w:val="left"/>
            </w:pPr>
            <w:r>
              <w:rPr>
                <w:b/>
                <w:bCs/>
                <w:sz w:val="20"/>
                <w:szCs w:val="20"/>
              </w:rPr>
              <w:t xml:space="preserve">CZAS AUTONOMII</w:t>
            </w:r>
          </w:p>
        </w:tc>
        <w:tc>
          <w:tcPr>
            <w:tcW w:type="dxa" w:w="2903"/>
            <w:shd w:fill="FCE4E4" w:val="clear"/>
            <w:tcMar>
              <w:top w:type="dxa" w:w="60"/>
              <w:left w:type="dxa" w:w="80"/>
              <w:bottom w:type="dxa" w:w="60"/>
              <w:right w:type="dxa" w:w="80"/>
            </w:tcMar>
          </w:tcPr>
          <w:p>
            <w:pPr>
              <w:spacing w:after="0" w:line="240"/>
              <w:jc w:val="center"/>
            </w:pPr>
            <w:r>
              <w:rPr>
                <w:b w:val="false"/>
                <w:bCs w:val="false"/>
                <w:sz w:val="20"/>
                <w:szCs w:val="20"/>
              </w:rPr>
              <w:t xml:space="preserve">0 godzin</w:t>
            </w:r>
          </w:p>
        </w:tc>
        <w:tc>
          <w:tcPr>
            <w:tcW w:type="dxa" w:w="2903"/>
            <w:shd w:fill="FCE4E4" w:val="clear"/>
            <w:tcMar>
              <w:top w:type="dxa" w:w="60"/>
              <w:left w:type="dxa" w:w="80"/>
              <w:bottom w:type="dxa" w:w="60"/>
              <w:right w:type="dxa" w:w="80"/>
            </w:tcMar>
          </w:tcPr>
          <w:p>
            <w:pPr>
              <w:spacing w:after="0" w:line="240"/>
              <w:jc w:val="center"/>
            </w:pPr>
            <w:r>
              <w:rPr>
                <w:b w:val="false"/>
                <w:bCs w:val="false"/>
                <w:sz w:val="20"/>
                <w:szCs w:val="20"/>
              </w:rPr>
              <w:t xml:space="preserve">0 godzin</w:t>
            </w:r>
          </w:p>
        </w:tc>
      </w:tr>
      <w:tr>
        <w:trPr>
          <w:tblHeader w:val="false"/>
        </w:trPr>
        <w:tc>
          <w:tcPr>
            <w:tcW w:type="dxa" w:w="3266"/>
            <w:tcMar>
              <w:top w:type="dxa" w:w="60"/>
              <w:left w:type="dxa" w:w="80"/>
              <w:bottom w:type="dxa" w:w="60"/>
              <w:right w:type="dxa" w:w="80"/>
            </w:tcMar>
          </w:tcPr>
          <w:p>
            <w:pPr>
              <w:spacing w:after="0" w:line="240"/>
              <w:jc w:val="left"/>
            </w:pPr>
            <w:r>
              <w:rPr>
                <w:b w:val="false"/>
                <w:bCs w:val="false"/>
                <w:sz w:val="20"/>
                <w:szCs w:val="20"/>
              </w:rPr>
              <w:t xml:space="preserve">Energia niedostarczona</w:t>
            </w:r>
          </w:p>
        </w:tc>
        <w:tc>
          <w:tcPr>
            <w:tcW w:type="dxa" w:w="2903"/>
            <w:tcMar>
              <w:top w:type="dxa" w:w="60"/>
              <w:left w:type="dxa" w:w="80"/>
              <w:bottom w:type="dxa" w:w="60"/>
              <w:right w:type="dxa" w:w="80"/>
            </w:tcMar>
          </w:tcPr>
          <w:p>
            <w:pPr>
              <w:spacing w:after="0" w:line="240"/>
              <w:jc w:val="center"/>
            </w:pPr>
            <w:r>
              <w:rPr>
                <w:b w:val="false"/>
                <w:bCs w:val="false"/>
                <w:sz w:val="20"/>
                <w:szCs w:val="20"/>
              </w:rPr>
              <w:t xml:space="preserve">8 762 kWh</w:t>
            </w:r>
          </w:p>
        </w:tc>
        <w:tc>
          <w:tcPr>
            <w:tcW w:type="dxa" w:w="2903"/>
            <w:tcMar>
              <w:top w:type="dxa" w:w="60"/>
              <w:left w:type="dxa" w:w="80"/>
              <w:bottom w:type="dxa" w:w="60"/>
              <w:right w:type="dxa" w:w="80"/>
            </w:tcMar>
          </w:tcPr>
          <w:p>
            <w:pPr>
              <w:spacing w:after="0" w:line="240"/>
              <w:jc w:val="center"/>
            </w:pPr>
            <w:r>
              <w:rPr>
                <w:b w:val="false"/>
                <w:bCs w:val="false"/>
                <w:sz w:val="20"/>
                <w:szCs w:val="20"/>
              </w:rPr>
              <w:t xml:space="preserve">2 520 kWh</w:t>
            </w:r>
          </w:p>
        </w:tc>
      </w:tr>
      <w:tr>
        <w:trPr>
          <w:tblHeader w:val="false"/>
        </w:trPr>
        <w:tc>
          <w:tcPr>
            <w:tcW w:type="dxa" w:w="3266"/>
            <w:tcMar>
              <w:top w:type="dxa" w:w="60"/>
              <w:left w:type="dxa" w:w="80"/>
              <w:bottom w:type="dxa" w:w="60"/>
              <w:right w:type="dxa" w:w="80"/>
            </w:tcMar>
          </w:tcPr>
          <w:p>
            <w:pPr>
              <w:spacing w:after="0" w:line="240"/>
              <w:jc w:val="left"/>
            </w:pPr>
            <w:r>
              <w:rPr>
                <w:b w:val="false"/>
                <w:bCs w:val="false"/>
                <w:sz w:val="20"/>
                <w:szCs w:val="20"/>
              </w:rPr>
              <w:t xml:space="preserve">Pokrycie obciążenia</w:t>
            </w:r>
          </w:p>
        </w:tc>
        <w:tc>
          <w:tcPr>
            <w:tcW w:type="dxa" w:w="2903"/>
            <w:tcMar>
              <w:top w:type="dxa" w:w="60"/>
              <w:left w:type="dxa" w:w="80"/>
              <w:bottom w:type="dxa" w:w="60"/>
              <w:right w:type="dxa" w:w="80"/>
            </w:tcMar>
          </w:tcPr>
          <w:p>
            <w:pPr>
              <w:spacing w:after="0" w:line="240"/>
              <w:jc w:val="center"/>
            </w:pPr>
            <w:r>
              <w:rPr>
                <w:b w:val="false"/>
                <w:bCs w:val="false"/>
                <w:sz w:val="20"/>
                <w:szCs w:val="20"/>
              </w:rPr>
              <w:t xml:space="preserve">0%</w:t>
            </w:r>
          </w:p>
        </w:tc>
        <w:tc>
          <w:tcPr>
            <w:tcW w:type="dxa" w:w="2903"/>
            <w:tcMar>
              <w:top w:type="dxa" w:w="60"/>
              <w:left w:type="dxa" w:w="80"/>
              <w:bottom w:type="dxa" w:w="60"/>
              <w:right w:type="dxa" w:w="80"/>
            </w:tcMar>
          </w:tcPr>
          <w:p>
            <w:pPr>
              <w:spacing w:after="0" w:line="240"/>
              <w:jc w:val="center"/>
            </w:pPr>
            <w:r>
              <w:rPr>
                <w:b w:val="false"/>
                <w:bCs w:val="false"/>
                <w:sz w:val="20"/>
                <w:szCs w:val="20"/>
              </w:rPr>
              <w:t xml:space="preserve">0%</w:t>
            </w:r>
          </w:p>
        </w:tc>
      </w:tr>
    </w:tbl>
    <w:p>
      <w:pPr>
        <w:spacing w:after="200" w:before="80" w:line="240"/>
        <w:jc w:val="center"/>
      </w:pPr>
      <w:r>
        <w:rPr>
          <w:i/>
          <w:iCs/>
          <w:sz w:val="20"/>
          <w:szCs w:val="20"/>
        </w:rPr>
        <w:t xml:space="preserve">Tabela 3. Konfiguracja K1 bez agregatu — brak jakiejkolwiek autonomii</w:t>
      </w:r>
    </w:p>
    <w:p>
      <w:pPr>
        <w:spacing w:after="120" w:before="0" w:line="360"/>
        <w:ind w:firstLine="566"/>
        <w:jc w:val="both"/>
      </w:pPr>
      <w:r>
        <w:rPr>
          <w:sz w:val="24"/>
          <w:szCs w:val="24"/>
        </w:rPr>
        <w:t xml:space="preserve">Obiekt traci zasilanie w chwili zaniku napięcia sieciowego. Stan taki oznacza unieruchomienie bloku operacyjnego i oddziału intensywnej terapii oraz utratę zawartości chłodni preparatów krwiopochodnych. Wariant niedopuszczalny prawnie i medycznie.</w:t>
      </w:r>
    </w:p>
    <w:p>
      <w:pPr>
        <w:pStyle w:val="Heading2"/>
        <w:spacing w:after="180" w:before="240" w:line="360"/>
      </w:pPr>
      <w:r>
        <w:rPr>
          <w:b/>
          <w:bCs/>
          <w:sz w:val="28"/>
          <w:szCs w:val="28"/>
        </w:rPr>
        <w:t xml:space="preserve">1.2. Wariant z agregatem 180 kW — autonomia ograniczona zapasem paliwa</w:t>
      </w:r>
    </w:p>
    <w:p>
      <w:pPr>
        <w:spacing w:after="120" w:before="0" w:line="360"/>
        <w:ind w:firstLine="566"/>
        <w:jc w:val="both"/>
      </w:pPr>
      <w:r>
        <w:rPr>
          <w:sz w:val="24"/>
          <w:szCs w:val="24"/>
        </w:rPr>
        <w:t xml:space="preserve">Agregat pokrywa pełne obciążenie obiektu, jednak czas jego pracy determinowany jest wyłącznie pojemnością zbiornika paliwa. Zmierzone zużycie wynosi 33,7 litra oleju napędowego na godzinę.</w:t>
      </w:r>
    </w:p>
    <w:tbl>
      <w:tblPr>
        <w:tblW w:type="dxa" w:w="9073"/>
        <w:tblBorders>
          <w:top w:val="single" w:color="auto" w:sz="4"/>
          <w:left w:val="single" w:color="auto" w:sz="4"/>
          <w:bottom w:val="single" w:color="auto" w:sz="4"/>
          <w:right w:val="single" w:color="auto" w:sz="4"/>
          <w:insideH w:val="single" w:color="auto" w:sz="4"/>
          <w:insideV w:val="single" w:color="auto" w:sz="4"/>
        </w:tblBorders>
      </w:tblPr>
      <w:tblGrid>
        <w:gridCol w:w="2540"/>
        <w:gridCol w:w="2178"/>
        <w:gridCol w:w="1815"/>
        <w:gridCol w:w="2540"/>
      </w:tblGrid>
      <w:tr>
        <w:trPr>
          <w:tblHeader/>
        </w:trPr>
        <w:tc>
          <w:tcPr>
            <w:tcW w:type="dxa" w:w="2540"/>
            <w:shd w:fill="D9E2F3" w:val="clear"/>
            <w:tcMar>
              <w:top w:type="dxa" w:w="60"/>
              <w:left w:type="dxa" w:w="80"/>
              <w:bottom w:type="dxa" w:w="60"/>
              <w:right w:type="dxa" w:w="80"/>
            </w:tcMar>
          </w:tcPr>
          <w:p>
            <w:pPr>
              <w:spacing w:after="0" w:line="240"/>
              <w:jc w:val="left"/>
            </w:pPr>
            <w:r>
              <w:rPr>
                <w:b/>
                <w:bCs/>
                <w:sz w:val="20"/>
                <w:szCs w:val="20"/>
              </w:rPr>
              <w:t xml:space="preserve">Pojemność zbiornika</w:t>
            </w:r>
          </w:p>
        </w:tc>
        <w:tc>
          <w:tcPr>
            <w:tcW w:type="dxa" w:w="2178"/>
            <w:shd w:fill="D9E2F3" w:val="clear"/>
            <w:tcMar>
              <w:top w:type="dxa" w:w="60"/>
              <w:left w:type="dxa" w:w="80"/>
              <w:bottom w:type="dxa" w:w="60"/>
              <w:right w:type="dxa" w:w="80"/>
            </w:tcMar>
          </w:tcPr>
          <w:p>
            <w:pPr>
              <w:spacing w:after="0" w:line="240"/>
              <w:jc w:val="center"/>
            </w:pPr>
            <w:r>
              <w:rPr>
                <w:b/>
                <w:bCs/>
                <w:sz w:val="20"/>
                <w:szCs w:val="20"/>
              </w:rPr>
              <w:t xml:space="preserve">Czas autonomii</w:t>
            </w:r>
          </w:p>
        </w:tc>
        <w:tc>
          <w:tcPr>
            <w:tcW w:type="dxa" w:w="1815"/>
            <w:shd w:fill="D9E2F3" w:val="clear"/>
            <w:tcMar>
              <w:top w:type="dxa" w:w="60"/>
              <w:left w:type="dxa" w:w="80"/>
              <w:bottom w:type="dxa" w:w="60"/>
              <w:right w:type="dxa" w:w="80"/>
            </w:tcMar>
          </w:tcPr>
          <w:p>
            <w:pPr>
              <w:spacing w:after="0" w:line="240"/>
              <w:jc w:val="center"/>
            </w:pPr>
            <w:r>
              <w:rPr>
                <w:b/>
                <w:bCs/>
                <w:sz w:val="20"/>
                <w:szCs w:val="20"/>
              </w:rPr>
              <w:t xml:space="preserve">W dobach</w:t>
            </w:r>
          </w:p>
        </w:tc>
        <w:tc>
          <w:tcPr>
            <w:tcW w:type="dxa" w:w="2540"/>
            <w:shd w:fill="D9E2F3" w:val="clear"/>
            <w:tcMar>
              <w:top w:type="dxa" w:w="60"/>
              <w:left w:type="dxa" w:w="80"/>
              <w:bottom w:type="dxa" w:w="60"/>
              <w:right w:type="dxa" w:w="80"/>
            </w:tcMar>
          </w:tcPr>
          <w:p>
            <w:pPr>
              <w:spacing w:after="0" w:line="240"/>
              <w:jc w:val="center"/>
            </w:pPr>
            <w:r>
              <w:rPr>
                <w:b/>
                <w:bCs/>
                <w:sz w:val="20"/>
                <w:szCs w:val="20"/>
              </w:rPr>
              <w:t xml:space="preserve">Pokrycie awarii 72 h</w:t>
            </w:r>
          </w:p>
        </w:tc>
      </w:tr>
      <w:tr>
        <w:trPr>
          <w:tblHeader w:val="false"/>
        </w:trPr>
        <w:tc>
          <w:tcPr>
            <w:tcW w:type="dxa" w:w="2540"/>
            <w:shd w:fill="FCE4E4" w:val="clear"/>
            <w:tcMar>
              <w:top w:type="dxa" w:w="60"/>
              <w:left w:type="dxa" w:w="80"/>
              <w:bottom w:type="dxa" w:w="60"/>
              <w:right w:type="dxa" w:w="80"/>
            </w:tcMar>
          </w:tcPr>
          <w:p>
            <w:pPr>
              <w:spacing w:after="0" w:line="240"/>
              <w:jc w:val="left"/>
            </w:pPr>
            <w:r>
              <w:rPr>
                <w:b/>
                <w:bCs/>
                <w:sz w:val="20"/>
                <w:szCs w:val="20"/>
              </w:rPr>
              <w:t xml:space="preserve">1 000 l</w:t>
            </w:r>
          </w:p>
        </w:tc>
        <w:tc>
          <w:tcPr>
            <w:tcW w:type="dxa" w:w="2178"/>
            <w:shd w:fill="FCE4E4" w:val="clear"/>
            <w:tcMar>
              <w:top w:type="dxa" w:w="60"/>
              <w:left w:type="dxa" w:w="80"/>
              <w:bottom w:type="dxa" w:w="60"/>
              <w:right w:type="dxa" w:w="80"/>
            </w:tcMar>
          </w:tcPr>
          <w:p>
            <w:pPr>
              <w:spacing w:after="0" w:line="240"/>
              <w:jc w:val="center"/>
            </w:pPr>
            <w:r>
              <w:rPr>
                <w:b w:val="false"/>
                <w:bCs w:val="false"/>
                <w:sz w:val="20"/>
                <w:szCs w:val="20"/>
              </w:rPr>
              <w:t xml:space="preserve">29,7 h</w:t>
            </w:r>
          </w:p>
        </w:tc>
        <w:tc>
          <w:tcPr>
            <w:tcW w:type="dxa" w:w="1815"/>
            <w:shd w:fill="FCE4E4" w:val="clear"/>
            <w:tcMar>
              <w:top w:type="dxa" w:w="60"/>
              <w:left w:type="dxa" w:w="80"/>
              <w:bottom w:type="dxa" w:w="60"/>
              <w:right w:type="dxa" w:w="80"/>
            </w:tcMar>
          </w:tcPr>
          <w:p>
            <w:pPr>
              <w:spacing w:after="0" w:line="240"/>
              <w:jc w:val="center"/>
            </w:pPr>
            <w:r>
              <w:rPr>
                <w:b w:val="false"/>
                <w:bCs w:val="false"/>
                <w:sz w:val="20"/>
                <w:szCs w:val="20"/>
              </w:rPr>
              <w:t xml:space="preserve">1,2 doby</w:t>
            </w:r>
          </w:p>
        </w:tc>
        <w:tc>
          <w:tcPr>
            <w:tcW w:type="dxa" w:w="2540"/>
            <w:shd w:fill="FCE4E4" w:val="clear"/>
            <w:tcMar>
              <w:top w:type="dxa" w:w="60"/>
              <w:left w:type="dxa" w:w="80"/>
              <w:bottom w:type="dxa" w:w="60"/>
              <w:right w:type="dxa" w:w="80"/>
            </w:tcMar>
          </w:tcPr>
          <w:p>
            <w:pPr>
              <w:spacing w:after="0" w:line="240"/>
              <w:jc w:val="center"/>
            </w:pPr>
            <w:r>
              <w:rPr>
                <w:b w:val="false"/>
                <w:bCs w:val="false"/>
                <w:sz w:val="20"/>
                <w:szCs w:val="20"/>
              </w:rPr>
              <w:t xml:space="preserve">NIE — 41%</w:t>
            </w:r>
          </w:p>
        </w:tc>
      </w:tr>
      <w:tr>
        <w:trPr>
          <w:tblHeader w:val="false"/>
        </w:trPr>
        <w:tc>
          <w:tcPr>
            <w:tcW w:type="dxa" w:w="2540"/>
            <w:shd w:fill="FCE4E4" w:val="clear"/>
            <w:tcMar>
              <w:top w:type="dxa" w:w="60"/>
              <w:left w:type="dxa" w:w="80"/>
              <w:bottom w:type="dxa" w:w="60"/>
              <w:right w:type="dxa" w:w="80"/>
            </w:tcMar>
          </w:tcPr>
          <w:p>
            <w:pPr>
              <w:spacing w:after="0" w:line="240"/>
              <w:jc w:val="left"/>
            </w:pPr>
            <w:r>
              <w:rPr>
                <w:b/>
                <w:bCs/>
                <w:sz w:val="20"/>
                <w:szCs w:val="20"/>
              </w:rPr>
              <w:t xml:space="preserve">1 500 l (typowa)</w:t>
            </w:r>
          </w:p>
        </w:tc>
        <w:tc>
          <w:tcPr>
            <w:tcW w:type="dxa" w:w="2178"/>
            <w:shd w:fill="FCE4E4" w:val="clear"/>
            <w:tcMar>
              <w:top w:type="dxa" w:w="60"/>
              <w:left w:type="dxa" w:w="80"/>
              <w:bottom w:type="dxa" w:w="60"/>
              <w:right w:type="dxa" w:w="80"/>
            </w:tcMar>
          </w:tcPr>
          <w:p>
            <w:pPr>
              <w:spacing w:after="0" w:line="240"/>
              <w:jc w:val="center"/>
            </w:pPr>
            <w:r>
              <w:rPr>
                <w:b w:val="false"/>
                <w:bCs w:val="false"/>
                <w:sz w:val="20"/>
                <w:szCs w:val="20"/>
              </w:rPr>
              <w:t xml:space="preserve">44,5 h</w:t>
            </w:r>
          </w:p>
        </w:tc>
        <w:tc>
          <w:tcPr>
            <w:tcW w:type="dxa" w:w="1815"/>
            <w:shd w:fill="FCE4E4" w:val="clear"/>
            <w:tcMar>
              <w:top w:type="dxa" w:w="60"/>
              <w:left w:type="dxa" w:w="80"/>
              <w:bottom w:type="dxa" w:w="60"/>
              <w:right w:type="dxa" w:w="80"/>
            </w:tcMar>
          </w:tcPr>
          <w:p>
            <w:pPr>
              <w:spacing w:after="0" w:line="240"/>
              <w:jc w:val="center"/>
            </w:pPr>
            <w:r>
              <w:rPr>
                <w:b w:val="false"/>
                <w:bCs w:val="false"/>
                <w:sz w:val="20"/>
                <w:szCs w:val="20"/>
              </w:rPr>
              <w:t xml:space="preserve">1,9 doby</w:t>
            </w:r>
          </w:p>
        </w:tc>
        <w:tc>
          <w:tcPr>
            <w:tcW w:type="dxa" w:w="2540"/>
            <w:shd w:fill="FCE4E4" w:val="clear"/>
            <w:tcMar>
              <w:top w:type="dxa" w:w="60"/>
              <w:left w:type="dxa" w:w="80"/>
              <w:bottom w:type="dxa" w:w="60"/>
              <w:right w:type="dxa" w:w="80"/>
            </w:tcMar>
          </w:tcPr>
          <w:p>
            <w:pPr>
              <w:spacing w:after="0" w:line="240"/>
              <w:jc w:val="center"/>
            </w:pPr>
            <w:r>
              <w:rPr>
                <w:b w:val="false"/>
                <w:bCs w:val="false"/>
                <w:sz w:val="20"/>
                <w:szCs w:val="20"/>
              </w:rPr>
              <w:t xml:space="preserve">NIE — 62%</w:t>
            </w:r>
          </w:p>
        </w:tc>
      </w:tr>
      <w:tr>
        <w:trPr>
          <w:tblHeader w:val="false"/>
        </w:trPr>
        <w:tc>
          <w:tcPr>
            <w:tcW w:type="dxa" w:w="2540"/>
            <w:shd w:fill="FCE4E4" w:val="clear"/>
            <w:tcMar>
              <w:top w:type="dxa" w:w="60"/>
              <w:left w:type="dxa" w:w="80"/>
              <w:bottom w:type="dxa" w:w="60"/>
              <w:right w:type="dxa" w:w="80"/>
            </w:tcMar>
          </w:tcPr>
          <w:p>
            <w:pPr>
              <w:spacing w:after="0" w:line="240"/>
              <w:jc w:val="left"/>
            </w:pPr>
            <w:r>
              <w:rPr>
                <w:b/>
                <w:bCs/>
                <w:sz w:val="20"/>
                <w:szCs w:val="20"/>
              </w:rPr>
              <w:t xml:space="preserve">2 000 l</w:t>
            </w:r>
          </w:p>
        </w:tc>
        <w:tc>
          <w:tcPr>
            <w:tcW w:type="dxa" w:w="2178"/>
            <w:shd w:fill="FCE4E4" w:val="clear"/>
            <w:tcMar>
              <w:top w:type="dxa" w:w="60"/>
              <w:left w:type="dxa" w:w="80"/>
              <w:bottom w:type="dxa" w:w="60"/>
              <w:right w:type="dxa" w:w="80"/>
            </w:tcMar>
          </w:tcPr>
          <w:p>
            <w:pPr>
              <w:spacing w:after="0" w:line="240"/>
              <w:jc w:val="center"/>
            </w:pPr>
            <w:r>
              <w:rPr>
                <w:b w:val="false"/>
                <w:bCs w:val="false"/>
                <w:sz w:val="20"/>
                <w:szCs w:val="20"/>
              </w:rPr>
              <w:t xml:space="preserve">59,4 h</w:t>
            </w:r>
          </w:p>
        </w:tc>
        <w:tc>
          <w:tcPr>
            <w:tcW w:type="dxa" w:w="1815"/>
            <w:shd w:fill="FCE4E4" w:val="clear"/>
            <w:tcMar>
              <w:top w:type="dxa" w:w="60"/>
              <w:left w:type="dxa" w:w="80"/>
              <w:bottom w:type="dxa" w:w="60"/>
              <w:right w:type="dxa" w:w="80"/>
            </w:tcMar>
          </w:tcPr>
          <w:p>
            <w:pPr>
              <w:spacing w:after="0" w:line="240"/>
              <w:jc w:val="center"/>
            </w:pPr>
            <w:r>
              <w:rPr>
                <w:b w:val="false"/>
                <w:bCs w:val="false"/>
                <w:sz w:val="20"/>
                <w:szCs w:val="20"/>
              </w:rPr>
              <w:t xml:space="preserve">2,5 doby</w:t>
            </w:r>
          </w:p>
        </w:tc>
        <w:tc>
          <w:tcPr>
            <w:tcW w:type="dxa" w:w="2540"/>
            <w:shd w:fill="FCE4E4" w:val="clear"/>
            <w:tcMar>
              <w:top w:type="dxa" w:w="60"/>
              <w:left w:type="dxa" w:w="80"/>
              <w:bottom w:type="dxa" w:w="60"/>
              <w:right w:type="dxa" w:w="80"/>
            </w:tcMar>
          </w:tcPr>
          <w:p>
            <w:pPr>
              <w:spacing w:after="0" w:line="240"/>
              <w:jc w:val="center"/>
            </w:pPr>
            <w:r>
              <w:rPr>
                <w:b w:val="false"/>
                <w:bCs w:val="false"/>
                <w:sz w:val="20"/>
                <w:szCs w:val="20"/>
              </w:rPr>
              <w:t xml:space="preserve">NIE — 82%</w:t>
            </w:r>
          </w:p>
        </w:tc>
      </w:tr>
      <w:tr>
        <w:trPr>
          <w:tblHeader w:val="false"/>
        </w:trPr>
        <w:tc>
          <w:tcPr>
            <w:tcW w:type="dxa" w:w="2540"/>
            <w:shd w:fill="FFF2CC" w:val="clear"/>
            <w:tcMar>
              <w:top w:type="dxa" w:w="60"/>
              <w:left w:type="dxa" w:w="80"/>
              <w:bottom w:type="dxa" w:w="60"/>
              <w:right w:type="dxa" w:w="80"/>
            </w:tcMar>
          </w:tcPr>
          <w:p>
            <w:pPr>
              <w:spacing w:after="0" w:line="240"/>
              <w:jc w:val="left"/>
            </w:pPr>
            <w:r>
              <w:rPr>
                <w:b/>
                <w:bCs/>
                <w:sz w:val="20"/>
                <w:szCs w:val="20"/>
              </w:rPr>
              <w:t xml:space="preserve">3 000 l</w:t>
            </w:r>
          </w:p>
        </w:tc>
        <w:tc>
          <w:tcPr>
            <w:tcW w:type="dxa" w:w="2178"/>
            <w:shd w:fill="FFF2CC" w:val="clear"/>
            <w:tcMar>
              <w:top w:type="dxa" w:w="60"/>
              <w:left w:type="dxa" w:w="80"/>
              <w:bottom w:type="dxa" w:w="60"/>
              <w:right w:type="dxa" w:w="80"/>
            </w:tcMar>
          </w:tcPr>
          <w:p>
            <w:pPr>
              <w:spacing w:after="0" w:line="240"/>
              <w:jc w:val="center"/>
            </w:pPr>
            <w:r>
              <w:rPr>
                <w:b w:val="false"/>
                <w:bCs w:val="false"/>
                <w:sz w:val="20"/>
                <w:szCs w:val="20"/>
              </w:rPr>
              <w:t xml:space="preserve">89,1 h</w:t>
            </w:r>
          </w:p>
        </w:tc>
        <w:tc>
          <w:tcPr>
            <w:tcW w:type="dxa" w:w="1815"/>
            <w:shd w:fill="FFF2CC" w:val="clear"/>
            <w:tcMar>
              <w:top w:type="dxa" w:w="60"/>
              <w:left w:type="dxa" w:w="80"/>
              <w:bottom w:type="dxa" w:w="60"/>
              <w:right w:type="dxa" w:w="80"/>
            </w:tcMar>
          </w:tcPr>
          <w:p>
            <w:pPr>
              <w:spacing w:after="0" w:line="240"/>
              <w:jc w:val="center"/>
            </w:pPr>
            <w:r>
              <w:rPr>
                <w:b w:val="false"/>
                <w:bCs w:val="false"/>
                <w:sz w:val="20"/>
                <w:szCs w:val="20"/>
              </w:rPr>
              <w:t xml:space="preserve">3,7 doby</w:t>
            </w:r>
          </w:p>
        </w:tc>
        <w:tc>
          <w:tcPr>
            <w:tcW w:type="dxa" w:w="2540"/>
            <w:shd w:fill="FFF2CC" w:val="clear"/>
            <w:tcMar>
              <w:top w:type="dxa" w:w="60"/>
              <w:left w:type="dxa" w:w="80"/>
              <w:bottom w:type="dxa" w:w="60"/>
              <w:right w:type="dxa" w:w="80"/>
            </w:tcMar>
          </w:tcPr>
          <w:p>
            <w:pPr>
              <w:spacing w:after="0" w:line="240"/>
              <w:jc w:val="center"/>
            </w:pPr>
            <w:r>
              <w:rPr>
                <w:b w:val="false"/>
                <w:bCs w:val="false"/>
                <w:sz w:val="20"/>
                <w:szCs w:val="20"/>
              </w:rPr>
              <w:t xml:space="preserve">TAK</w:t>
            </w:r>
          </w:p>
        </w:tc>
      </w:tr>
      <w:tr>
        <w:trPr>
          <w:tblHeader w:val="false"/>
        </w:trPr>
        <w:tc>
          <w:tcPr>
            <w:tcW w:type="dxa" w:w="2540"/>
            <w:shd w:fill="FFF2CC" w:val="clear"/>
            <w:tcMar>
              <w:top w:type="dxa" w:w="60"/>
              <w:left w:type="dxa" w:w="80"/>
              <w:bottom w:type="dxa" w:w="60"/>
              <w:right w:type="dxa" w:w="80"/>
            </w:tcMar>
          </w:tcPr>
          <w:p>
            <w:pPr>
              <w:spacing w:after="0" w:line="240"/>
              <w:jc w:val="left"/>
            </w:pPr>
            <w:r>
              <w:rPr>
                <w:b/>
                <w:bCs/>
                <w:sz w:val="20"/>
                <w:szCs w:val="20"/>
              </w:rPr>
              <w:t xml:space="preserve">5 000 l</w:t>
            </w:r>
          </w:p>
        </w:tc>
        <w:tc>
          <w:tcPr>
            <w:tcW w:type="dxa" w:w="2178"/>
            <w:shd w:fill="FFF2CC" w:val="clear"/>
            <w:tcMar>
              <w:top w:type="dxa" w:w="60"/>
              <w:left w:type="dxa" w:w="80"/>
              <w:bottom w:type="dxa" w:w="60"/>
              <w:right w:type="dxa" w:w="80"/>
            </w:tcMar>
          </w:tcPr>
          <w:p>
            <w:pPr>
              <w:spacing w:after="0" w:line="240"/>
              <w:jc w:val="center"/>
            </w:pPr>
            <w:r>
              <w:rPr>
                <w:b w:val="false"/>
                <w:bCs w:val="false"/>
                <w:sz w:val="20"/>
                <w:szCs w:val="20"/>
              </w:rPr>
              <w:t xml:space="preserve">148,5 h</w:t>
            </w:r>
          </w:p>
        </w:tc>
        <w:tc>
          <w:tcPr>
            <w:tcW w:type="dxa" w:w="1815"/>
            <w:shd w:fill="FFF2CC" w:val="clear"/>
            <w:tcMar>
              <w:top w:type="dxa" w:w="60"/>
              <w:left w:type="dxa" w:w="80"/>
              <w:bottom w:type="dxa" w:w="60"/>
              <w:right w:type="dxa" w:w="80"/>
            </w:tcMar>
          </w:tcPr>
          <w:p>
            <w:pPr>
              <w:spacing w:after="0" w:line="240"/>
              <w:jc w:val="center"/>
            </w:pPr>
            <w:r>
              <w:rPr>
                <w:b w:val="false"/>
                <w:bCs w:val="false"/>
                <w:sz w:val="20"/>
                <w:szCs w:val="20"/>
              </w:rPr>
              <w:t xml:space="preserve">6,2 doby</w:t>
            </w:r>
          </w:p>
        </w:tc>
        <w:tc>
          <w:tcPr>
            <w:tcW w:type="dxa" w:w="2540"/>
            <w:shd w:fill="FFF2CC" w:val="clear"/>
            <w:tcMar>
              <w:top w:type="dxa" w:w="60"/>
              <w:left w:type="dxa" w:w="80"/>
              <w:bottom w:type="dxa" w:w="60"/>
              <w:right w:type="dxa" w:w="80"/>
            </w:tcMar>
          </w:tcPr>
          <w:p>
            <w:pPr>
              <w:spacing w:after="0" w:line="240"/>
              <w:jc w:val="center"/>
            </w:pPr>
            <w:r>
              <w:rPr>
                <w:b w:val="false"/>
                <w:bCs w:val="false"/>
                <w:sz w:val="20"/>
                <w:szCs w:val="20"/>
              </w:rPr>
              <w:t xml:space="preserve">TAK</w:t>
            </w:r>
          </w:p>
        </w:tc>
      </w:tr>
    </w:tbl>
    <w:p>
      <w:pPr>
        <w:spacing w:after="200" w:before="80" w:line="240"/>
        <w:jc w:val="center"/>
      </w:pPr>
      <w:r>
        <w:rPr>
          <w:i/>
          <w:iCs/>
          <w:sz w:val="20"/>
          <w:szCs w:val="20"/>
        </w:rPr>
        <w:t xml:space="preserve">Tabela 4. Czas autonomii konfiguracji K1 w funkcji pojemności zbiornika paliwa</w:t>
      </w:r>
    </w:p>
    <w:p>
      <w:pPr>
        <w:spacing w:after="60" w:before="120"/>
        <w:jc w:val="center"/>
      </w:pPr>
      <w:r>
        <w:drawing>
          <wp:inline distT="0" distB="0" distL="0" distR="0">
            <wp:extent cx="41910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2152650"/>
                    </a:xfrm>
                    <a:prstGeom prst="rect">
                      <a:avLst/>
                    </a:prstGeom>
                  </pic:spPr>
                </pic:pic>
              </a:graphicData>
            </a:graphic>
          </wp:inline>
        </w:drawing>
      </w:r>
    </w:p>
    <w:p>
      <w:pPr>
        <w:spacing w:after="200" w:before="80" w:line="240"/>
        <w:jc w:val="center"/>
      </w:pPr>
      <w:r>
        <w:rPr>
          <w:i/>
          <w:iCs/>
          <w:sz w:val="20"/>
          <w:szCs w:val="20"/>
        </w:rPr>
        <w:t xml:space="preserve">Rysunek 2. Konfiguracja K1 — zależność czasu autonomii od zapasu paliwa</w:t>
      </w:r>
    </w:p>
    <w:p>
      <w:pPr>
        <w:spacing w:after="120" w:before="0" w:line="360"/>
        <w:ind w:firstLine="566"/>
        <w:jc w:val="both"/>
      </w:pPr>
      <w:r>
        <w:rPr>
          <w:sz w:val="24"/>
          <w:szCs w:val="24"/>
        </w:rPr>
        <w:t xml:space="preserve">Przy typowej dla obiektów tej wielkości pojemności zbiornika wynoszącej 1 000–1 500 litrów szpital wyczerpuje zapas paliwa po 30–45 godzinach, czyli przed upływem połowy czasu trwania awarii typu black-sky. Pokrycie pełnych 72 godzin wymaga zbiornika o pojemności co najmniej 2 430 litrów.</w:t>
      </w:r>
    </w:p>
    <w:p>
      <w:pPr>
        <w:spacing w:after="120" w:before="0" w:line="360"/>
        <w:ind w:firstLine="566"/>
        <w:jc w:val="both"/>
      </w:pPr>
      <w:r>
        <w:rPr>
          <w:sz w:val="24"/>
          <w:szCs w:val="24"/>
        </w:rPr>
        <w:t xml:space="preserve">Ograniczenie to ma charakter logistyczny, nie techniczny. W scenariuszu, w którym transport drogowy pozostaje sprawny, uzupełnienie paliwa przedłuża pracę dowolnie. W scenariuszu black-sky — powódź, oblodzenie, zniszczenia infrastruktury drogowej — dostawa może okazać się niemożliwa.</w:t>
      </w:r>
    </w:p>
    <w:p>
      <w:pPr>
        <w:spacing w:after="140" w:before="200" w:line="360"/>
      </w:pPr>
      <w:r>
        <w:rPr>
          <w:b/>
          <w:bCs/>
          <w:sz w:val="24"/>
          <w:szCs w:val="24"/>
        </w:rPr>
        <w:t xml:space="preserve">Tryb awaryjny z odrzuceniem obciążeń nieistotnych</w:t>
      </w:r>
    </w:p>
    <w:p>
      <w:pPr>
        <w:spacing w:after="120" w:before="0" w:line="360"/>
        <w:ind w:firstLine="566"/>
        <w:jc w:val="both"/>
      </w:pPr>
      <w:r>
        <w:rPr>
          <w:sz w:val="24"/>
          <w:szCs w:val="24"/>
        </w:rPr>
        <w:t xml:space="preserve">Ograniczenie zasilania wyłącznie do odbiorów krytycznych (47,9 kW, tj. 30% mocy szczytowej — ustawowe minimum) zmienia obraz zasadniczo:</w:t>
      </w:r>
    </w:p>
    <w:tbl>
      <w:tblPr>
        <w:tblW w:type="dxa" w:w="9073"/>
        <w:tblBorders>
          <w:top w:val="single" w:color="auto" w:sz="4"/>
          <w:left w:val="single" w:color="auto" w:sz="4"/>
          <w:bottom w:val="single" w:color="auto" w:sz="4"/>
          <w:right w:val="single" w:color="auto" w:sz="4"/>
          <w:insideH w:val="single" w:color="auto" w:sz="4"/>
          <w:insideV w:val="single" w:color="auto" w:sz="4"/>
        </w:tblBorders>
      </w:tblPr>
      <w:tblGrid>
        <w:gridCol w:w="2359"/>
        <w:gridCol w:w="2178"/>
        <w:gridCol w:w="2540"/>
        <w:gridCol w:w="1996"/>
      </w:tblGrid>
      <w:tr>
        <w:trPr>
          <w:tblHeader/>
        </w:trPr>
        <w:tc>
          <w:tcPr>
            <w:tcW w:type="dxa" w:w="2359"/>
            <w:shd w:fill="D9E2F3" w:val="clear"/>
            <w:tcMar>
              <w:top w:type="dxa" w:w="60"/>
              <w:left w:type="dxa" w:w="80"/>
              <w:bottom w:type="dxa" w:w="60"/>
              <w:right w:type="dxa" w:w="80"/>
            </w:tcMar>
          </w:tcPr>
          <w:p>
            <w:pPr>
              <w:spacing w:after="0" w:line="240"/>
              <w:jc w:val="left"/>
            </w:pPr>
            <w:r>
              <w:rPr>
                <w:b/>
                <w:bCs/>
                <w:sz w:val="20"/>
                <w:szCs w:val="20"/>
              </w:rPr>
              <w:t xml:space="preserve">Pojemność zbiornika</w:t>
            </w:r>
          </w:p>
        </w:tc>
        <w:tc>
          <w:tcPr>
            <w:tcW w:type="dxa" w:w="2178"/>
            <w:shd w:fill="D9E2F3" w:val="clear"/>
            <w:tcMar>
              <w:top w:type="dxa" w:w="60"/>
              <w:left w:type="dxa" w:w="80"/>
              <w:bottom w:type="dxa" w:w="60"/>
              <w:right w:type="dxa" w:w="80"/>
            </w:tcMar>
          </w:tcPr>
          <w:p>
            <w:pPr>
              <w:spacing w:after="0" w:line="240"/>
              <w:jc w:val="center"/>
            </w:pPr>
            <w:r>
              <w:rPr>
                <w:b/>
                <w:bCs/>
                <w:sz w:val="20"/>
                <w:szCs w:val="20"/>
              </w:rPr>
              <w:t xml:space="preserve">Pełne obciążenie</w:t>
            </w:r>
          </w:p>
        </w:tc>
        <w:tc>
          <w:tcPr>
            <w:tcW w:type="dxa" w:w="2540"/>
            <w:shd w:fill="D9E2F3" w:val="clear"/>
            <w:tcMar>
              <w:top w:type="dxa" w:w="60"/>
              <w:left w:type="dxa" w:w="80"/>
              <w:bottom w:type="dxa" w:w="60"/>
              <w:right w:type="dxa" w:w="80"/>
            </w:tcMar>
          </w:tcPr>
          <w:p>
            <w:pPr>
              <w:spacing w:after="0" w:line="240"/>
              <w:jc w:val="center"/>
            </w:pPr>
            <w:r>
              <w:rPr>
                <w:b/>
                <w:bCs/>
                <w:sz w:val="20"/>
                <w:szCs w:val="20"/>
              </w:rPr>
              <w:t xml:space="preserve">Tylko odbiory krytyczne</w:t>
            </w:r>
          </w:p>
        </w:tc>
        <w:tc>
          <w:tcPr>
            <w:tcW w:type="dxa" w:w="1996"/>
            <w:shd w:fill="D9E2F3" w:val="clear"/>
            <w:tcMar>
              <w:top w:type="dxa" w:w="60"/>
              <w:left w:type="dxa" w:w="80"/>
              <w:bottom w:type="dxa" w:w="60"/>
              <w:right w:type="dxa" w:w="80"/>
            </w:tcMar>
          </w:tcPr>
          <w:p>
            <w:pPr>
              <w:spacing w:after="0" w:line="240"/>
              <w:jc w:val="center"/>
            </w:pPr>
            <w:r>
              <w:rPr>
                <w:b/>
                <w:bCs/>
                <w:sz w:val="20"/>
                <w:szCs w:val="20"/>
              </w:rPr>
              <w:t xml:space="preserve">Przyrost</w:t>
            </w:r>
          </w:p>
        </w:tc>
      </w:tr>
      <w:tr>
        <w:trPr>
          <w:tblHeader w:val="false"/>
        </w:trPr>
        <w:tc>
          <w:tcPr>
            <w:tcW w:type="dxa" w:w="2359"/>
            <w:shd w:fill="FFF2CC" w:val="clear"/>
            <w:tcMar>
              <w:top w:type="dxa" w:w="60"/>
              <w:left w:type="dxa" w:w="80"/>
              <w:bottom w:type="dxa" w:w="60"/>
              <w:right w:type="dxa" w:w="80"/>
            </w:tcMar>
          </w:tcPr>
          <w:p>
            <w:pPr>
              <w:spacing w:after="0" w:line="240"/>
              <w:jc w:val="left"/>
            </w:pPr>
            <w:r>
              <w:rPr>
                <w:b/>
                <w:bCs/>
                <w:sz w:val="20"/>
                <w:szCs w:val="20"/>
              </w:rPr>
              <w:t xml:space="preserve">1 000 l</w:t>
            </w:r>
          </w:p>
        </w:tc>
        <w:tc>
          <w:tcPr>
            <w:tcW w:type="dxa" w:w="2178"/>
            <w:shd w:fill="FFF2CC" w:val="clear"/>
            <w:tcMar>
              <w:top w:type="dxa" w:w="60"/>
              <w:left w:type="dxa" w:w="80"/>
              <w:bottom w:type="dxa" w:w="60"/>
              <w:right w:type="dxa" w:w="80"/>
            </w:tcMar>
          </w:tcPr>
          <w:p>
            <w:pPr>
              <w:spacing w:after="0" w:line="240"/>
              <w:jc w:val="center"/>
            </w:pPr>
            <w:r>
              <w:rPr>
                <w:sz w:val="20"/>
                <w:szCs w:val="20"/>
              </w:rPr>
              <w:t xml:space="preserve">29,7 h</w:t>
            </w:r>
          </w:p>
        </w:tc>
        <w:tc>
          <w:tcPr>
            <w:tcW w:type="dxa" w:w="2540"/>
            <w:shd w:fill="FFF2CC" w:val="clear"/>
            <w:tcMar>
              <w:top w:type="dxa" w:w="60"/>
              <w:left w:type="dxa" w:w="80"/>
              <w:bottom w:type="dxa" w:w="60"/>
              <w:right w:type="dxa" w:w="80"/>
            </w:tcMar>
          </w:tcPr>
          <w:p>
            <w:pPr>
              <w:spacing w:after="0" w:line="240"/>
              <w:jc w:val="center"/>
            </w:pPr>
            <w:r>
              <w:rPr>
                <w:sz w:val="20"/>
                <w:szCs w:val="20"/>
              </w:rPr>
              <w:t xml:space="preserve">75,4 h</w:t>
            </w:r>
          </w:p>
        </w:tc>
        <w:tc>
          <w:tcPr>
            <w:tcW w:type="dxa" w:w="1996"/>
            <w:shd w:fill="FFF2CC" w:val="clear"/>
            <w:tcMar>
              <w:top w:type="dxa" w:w="60"/>
              <w:left w:type="dxa" w:w="80"/>
              <w:bottom w:type="dxa" w:w="60"/>
              <w:right w:type="dxa" w:w="80"/>
            </w:tcMar>
          </w:tcPr>
          <w:p>
            <w:pPr>
              <w:spacing w:after="0" w:line="240"/>
              <w:jc w:val="center"/>
            </w:pPr>
            <w:r>
              <w:rPr>
                <w:sz w:val="20"/>
                <w:szCs w:val="20"/>
              </w:rPr>
              <w:t xml:space="preserve">×2,5</w:t>
            </w:r>
          </w:p>
        </w:tc>
      </w:tr>
      <w:tr>
        <w:trPr>
          <w:tblHeader w:val="false"/>
        </w:trPr>
        <w:tc>
          <w:tcPr>
            <w:tcW w:type="dxa" w:w="2359"/>
            <w:shd w:fill="FFF2CC" w:val="clear"/>
            <w:tcMar>
              <w:top w:type="dxa" w:w="60"/>
              <w:left w:type="dxa" w:w="80"/>
              <w:bottom w:type="dxa" w:w="60"/>
              <w:right w:type="dxa" w:w="80"/>
            </w:tcMar>
          </w:tcPr>
          <w:p>
            <w:pPr>
              <w:spacing w:after="0" w:line="240"/>
              <w:jc w:val="left"/>
            </w:pPr>
            <w:r>
              <w:rPr>
                <w:b/>
                <w:bCs/>
                <w:sz w:val="20"/>
                <w:szCs w:val="20"/>
              </w:rPr>
              <w:t xml:space="preserve">1 500 l</w:t>
            </w:r>
          </w:p>
        </w:tc>
        <w:tc>
          <w:tcPr>
            <w:tcW w:type="dxa" w:w="2178"/>
            <w:shd w:fill="FFF2CC" w:val="clear"/>
            <w:tcMar>
              <w:top w:type="dxa" w:w="60"/>
              <w:left w:type="dxa" w:w="80"/>
              <w:bottom w:type="dxa" w:w="60"/>
              <w:right w:type="dxa" w:w="80"/>
            </w:tcMar>
          </w:tcPr>
          <w:p>
            <w:pPr>
              <w:spacing w:after="0" w:line="240"/>
              <w:jc w:val="center"/>
            </w:pPr>
            <w:r>
              <w:rPr>
                <w:sz w:val="20"/>
                <w:szCs w:val="20"/>
              </w:rPr>
              <w:t xml:space="preserve">44,5 h</w:t>
            </w:r>
          </w:p>
        </w:tc>
        <w:tc>
          <w:tcPr>
            <w:tcW w:type="dxa" w:w="2540"/>
            <w:shd w:fill="FFF2CC" w:val="clear"/>
            <w:tcMar>
              <w:top w:type="dxa" w:w="60"/>
              <w:left w:type="dxa" w:w="80"/>
              <w:bottom w:type="dxa" w:w="60"/>
              <w:right w:type="dxa" w:w="80"/>
            </w:tcMar>
          </w:tcPr>
          <w:p>
            <w:pPr>
              <w:spacing w:after="0" w:line="240"/>
              <w:jc w:val="center"/>
            </w:pPr>
            <w:r>
              <w:rPr>
                <w:sz w:val="20"/>
                <w:szCs w:val="20"/>
              </w:rPr>
              <w:t xml:space="preserve">113,1 h</w:t>
            </w:r>
          </w:p>
        </w:tc>
        <w:tc>
          <w:tcPr>
            <w:tcW w:type="dxa" w:w="1996"/>
            <w:shd w:fill="FFF2CC" w:val="clear"/>
            <w:tcMar>
              <w:top w:type="dxa" w:w="60"/>
              <w:left w:type="dxa" w:w="80"/>
              <w:bottom w:type="dxa" w:w="60"/>
              <w:right w:type="dxa" w:w="80"/>
            </w:tcMar>
          </w:tcPr>
          <w:p>
            <w:pPr>
              <w:spacing w:after="0" w:line="240"/>
              <w:jc w:val="center"/>
            </w:pPr>
            <w:r>
              <w:rPr>
                <w:sz w:val="20"/>
                <w:szCs w:val="20"/>
              </w:rPr>
              <w:t xml:space="preserve">×2,5</w:t>
            </w:r>
          </w:p>
        </w:tc>
      </w:tr>
    </w:tbl>
    <w:p>
      <w:pPr>
        <w:spacing w:after="200" w:before="80" w:line="240"/>
        <w:jc w:val="center"/>
      </w:pPr>
      <w:r>
        <w:rPr>
          <w:i/>
          <w:iCs/>
          <w:sz w:val="20"/>
          <w:szCs w:val="20"/>
        </w:rPr>
        <w:t xml:space="preserve">Tabela 5. Wpływ odrzucenia obciążeń nieistotnych na czas autonomii K1</w:t>
      </w:r>
    </w:p>
    <w:p>
      <w:pPr>
        <w:spacing w:after="120" w:before="0" w:line="360"/>
        <w:ind w:firstLine="566"/>
        <w:jc w:val="both"/>
      </w:pPr>
      <w:r>
        <w:rPr>
          <w:sz w:val="24"/>
          <w:szCs w:val="24"/>
        </w:rPr>
        <w:t xml:space="preserve">Przy zbiorniku 1 500 litrów i pracy wyłącznie na odbiory krytyczne agregat zapewnia 113 godzin — blisko pięć dób. Wskazuje to na kluczowe znaczenie automatyki priorytetyzacji obciążeń, której koszt jest nieporównywalnie niższy od rozbudowy zbiornika.</w:t>
      </w:r>
    </w:p>
    <w:p>
      <w:pPr>
        <w:pStyle w:val="Heading2"/>
        <w:spacing w:after="180" w:before="240" w:line="360"/>
      </w:pPr>
      <w:r>
        <w:rPr>
          <w:b/>
          <w:bCs/>
          <w:sz w:val="28"/>
          <w:szCs w:val="28"/>
        </w:rPr>
        <w:t xml:space="preserve">1.3. Podsumowanie konfiguracji K1</w:t>
      </w:r>
    </w:p>
    <w:tbl>
      <w:tblPr>
        <w:tblW w:type="dxa" w:w="9073"/>
        <w:tblBorders>
          <w:top w:val="single" w:color="auto" w:sz="4"/>
          <w:left w:val="single" w:color="auto" w:sz="4"/>
          <w:bottom w:val="single" w:color="auto" w:sz="4"/>
          <w:right w:val="single" w:color="auto" w:sz="4"/>
          <w:insideH w:val="single" w:color="auto" w:sz="4"/>
          <w:insideV w:val="single" w:color="auto" w:sz="4"/>
        </w:tblBorders>
      </w:tblPr>
      <w:tblGrid>
        <w:gridCol w:w="3085"/>
        <w:gridCol w:w="2903"/>
        <w:gridCol w:w="3085"/>
      </w:tblGrid>
      <w:tr>
        <w:trPr>
          <w:tblHeader/>
        </w:trPr>
        <w:tc>
          <w:tcPr>
            <w:tcW w:type="dxa" w:w="3085"/>
            <w:shd w:fill="D9E2F3" w:val="clear"/>
            <w:tcMar>
              <w:top w:type="dxa" w:w="60"/>
              <w:left w:type="dxa" w:w="80"/>
              <w:bottom w:type="dxa" w:w="60"/>
              <w:right w:type="dxa" w:w="80"/>
            </w:tcMar>
          </w:tcPr>
          <w:p>
            <w:pPr>
              <w:spacing w:after="0" w:line="240"/>
              <w:jc w:val="left"/>
            </w:pPr>
            <w:r>
              <w:rPr>
                <w:b/>
                <w:bCs/>
                <w:sz w:val="20"/>
                <w:szCs w:val="20"/>
              </w:rPr>
              <w:t xml:space="preserve">Zdarzenie</w:t>
            </w:r>
          </w:p>
        </w:tc>
        <w:tc>
          <w:tcPr>
            <w:tcW w:type="dxa" w:w="2903"/>
            <w:shd w:fill="D9E2F3" w:val="clear"/>
            <w:tcMar>
              <w:top w:type="dxa" w:w="60"/>
              <w:left w:type="dxa" w:w="80"/>
              <w:bottom w:type="dxa" w:w="60"/>
              <w:right w:type="dxa" w:w="80"/>
            </w:tcMar>
          </w:tcPr>
          <w:p>
            <w:pPr>
              <w:spacing w:after="0" w:line="240"/>
              <w:jc w:val="center"/>
            </w:pPr>
            <w:r>
              <w:rPr>
                <w:b/>
                <w:bCs/>
                <w:sz w:val="20"/>
                <w:szCs w:val="20"/>
              </w:rPr>
              <w:t xml:space="preserve">Czas autonomii</w:t>
            </w:r>
          </w:p>
        </w:tc>
        <w:tc>
          <w:tcPr>
            <w:tcW w:type="dxa" w:w="3085"/>
            <w:shd w:fill="D9E2F3" w:val="clear"/>
            <w:tcMar>
              <w:top w:type="dxa" w:w="60"/>
              <w:left w:type="dxa" w:w="80"/>
              <w:bottom w:type="dxa" w:w="60"/>
              <w:right w:type="dxa" w:w="80"/>
            </w:tcMar>
          </w:tcPr>
          <w:p>
            <w:pPr>
              <w:spacing w:after="0" w:line="240"/>
              <w:jc w:val="center"/>
            </w:pPr>
            <w:r>
              <w:rPr>
                <w:b/>
                <w:bCs/>
                <w:sz w:val="20"/>
                <w:szCs w:val="20"/>
              </w:rPr>
              <w:t xml:space="preserve">Ograniczenie</w:t>
            </w:r>
          </w:p>
        </w:tc>
      </w:tr>
      <w:tr>
        <w:trPr>
          <w:tblHeader w:val="false"/>
        </w:trPr>
        <w:tc>
          <w:tcPr>
            <w:tcW w:type="dxa" w:w="3085"/>
            <w:tcMar>
              <w:top w:type="dxa" w:w="60"/>
              <w:left w:type="dxa" w:w="80"/>
              <w:bottom w:type="dxa" w:w="60"/>
              <w:right w:type="dxa" w:w="80"/>
            </w:tcMar>
          </w:tcPr>
          <w:p>
            <w:pPr>
              <w:spacing w:after="0" w:line="240"/>
              <w:jc w:val="left"/>
            </w:pPr>
            <w:r>
              <w:rPr>
                <w:sz w:val="20"/>
                <w:szCs w:val="20"/>
              </w:rPr>
              <w:t xml:space="preserve">A1 — black-sky 72 h</w:t>
            </w:r>
          </w:p>
        </w:tc>
        <w:tc>
          <w:tcPr>
            <w:tcW w:type="dxa" w:w="2903"/>
            <w:tcMar>
              <w:top w:type="dxa" w:w="60"/>
              <w:left w:type="dxa" w:w="80"/>
              <w:bottom w:type="dxa" w:w="60"/>
              <w:right w:type="dxa" w:w="80"/>
            </w:tcMar>
          </w:tcPr>
          <w:p>
            <w:pPr>
              <w:spacing w:after="0" w:line="240"/>
              <w:jc w:val="center"/>
            </w:pPr>
            <w:r>
              <w:rPr>
                <w:sz w:val="20"/>
                <w:szCs w:val="20"/>
              </w:rPr>
              <w:t xml:space="preserve">44,5 h (zbiornik 1 500 l)</w:t>
            </w:r>
          </w:p>
        </w:tc>
        <w:tc>
          <w:tcPr>
            <w:tcW w:type="dxa" w:w="3085"/>
            <w:tcMar>
              <w:top w:type="dxa" w:w="60"/>
              <w:left w:type="dxa" w:w="80"/>
              <w:bottom w:type="dxa" w:w="60"/>
              <w:right w:type="dxa" w:w="80"/>
            </w:tcMar>
          </w:tcPr>
          <w:p>
            <w:pPr>
              <w:spacing w:after="0" w:line="240"/>
              <w:jc w:val="center"/>
            </w:pPr>
            <w:r>
              <w:rPr>
                <w:sz w:val="20"/>
                <w:szCs w:val="20"/>
              </w:rPr>
              <w:t xml:space="preserve">Wyczerpanie paliwa</w:t>
            </w:r>
          </w:p>
        </w:tc>
      </w:tr>
      <w:tr>
        <w:trPr>
          <w:tblHeader w:val="false"/>
        </w:trPr>
        <w:tc>
          <w:tcPr>
            <w:tcW w:type="dxa" w:w="3085"/>
            <w:tcMar>
              <w:top w:type="dxa" w:w="60"/>
              <w:left w:type="dxa" w:w="80"/>
              <w:bottom w:type="dxa" w:w="60"/>
              <w:right w:type="dxa" w:w="80"/>
            </w:tcMar>
          </w:tcPr>
          <w:p>
            <w:pPr>
              <w:spacing w:after="0" w:line="240"/>
              <w:jc w:val="left"/>
            </w:pPr>
            <w:r>
              <w:rPr>
                <w:sz w:val="20"/>
                <w:szCs w:val="20"/>
              </w:rPr>
              <w:t xml:space="preserve">A1 — tryb krytyczny</w:t>
            </w:r>
          </w:p>
        </w:tc>
        <w:tc>
          <w:tcPr>
            <w:tcW w:type="dxa" w:w="2903"/>
            <w:tcMar>
              <w:top w:type="dxa" w:w="60"/>
              <w:left w:type="dxa" w:w="80"/>
              <w:bottom w:type="dxa" w:w="60"/>
              <w:right w:type="dxa" w:w="80"/>
            </w:tcMar>
          </w:tcPr>
          <w:p>
            <w:pPr>
              <w:spacing w:after="0" w:line="240"/>
              <w:jc w:val="center"/>
            </w:pPr>
            <w:r>
              <w:rPr>
                <w:sz w:val="20"/>
                <w:szCs w:val="20"/>
              </w:rPr>
              <w:t xml:space="preserve">113,1 h</w:t>
            </w:r>
          </w:p>
        </w:tc>
        <w:tc>
          <w:tcPr>
            <w:tcW w:type="dxa" w:w="3085"/>
            <w:tcMar>
              <w:top w:type="dxa" w:w="60"/>
              <w:left w:type="dxa" w:w="80"/>
              <w:bottom w:type="dxa" w:w="60"/>
              <w:right w:type="dxa" w:w="80"/>
            </w:tcMar>
          </w:tcPr>
          <w:p>
            <w:pPr>
              <w:spacing w:after="0" w:line="240"/>
              <w:jc w:val="center"/>
            </w:pPr>
            <w:r>
              <w:rPr>
                <w:sz w:val="20"/>
                <w:szCs w:val="20"/>
              </w:rPr>
              <w:t xml:space="preserve">Wyczerpanie paliwa</w:t>
            </w:r>
          </w:p>
        </w:tc>
      </w:tr>
      <w:tr>
        <w:trPr>
          <w:tblHeader w:val="false"/>
        </w:trPr>
        <w:tc>
          <w:tcPr>
            <w:tcW w:type="dxa" w:w="3085"/>
            <w:tcMar>
              <w:top w:type="dxa" w:w="60"/>
              <w:left w:type="dxa" w:w="80"/>
              <w:bottom w:type="dxa" w:w="60"/>
              <w:right w:type="dxa" w:w="80"/>
            </w:tcMar>
          </w:tcPr>
          <w:p>
            <w:pPr>
              <w:spacing w:after="0" w:line="240"/>
              <w:jc w:val="left"/>
            </w:pPr>
            <w:r>
              <w:rPr>
                <w:sz w:val="20"/>
                <w:szCs w:val="20"/>
              </w:rPr>
              <w:t xml:space="preserve">A2 — przerwy 2–7 h</w:t>
            </w:r>
          </w:p>
        </w:tc>
        <w:tc>
          <w:tcPr>
            <w:tcW w:type="dxa" w:w="2903"/>
            <w:tcMar>
              <w:top w:type="dxa" w:w="60"/>
              <w:left w:type="dxa" w:w="80"/>
              <w:bottom w:type="dxa" w:w="60"/>
              <w:right w:type="dxa" w:w="80"/>
            </w:tcMar>
          </w:tcPr>
          <w:p>
            <w:pPr>
              <w:spacing w:after="0" w:line="240"/>
              <w:jc w:val="center"/>
            </w:pPr>
            <w:r>
              <w:rPr>
                <w:sz w:val="20"/>
                <w:szCs w:val="20"/>
              </w:rPr>
              <w:t xml:space="preserve">pełne pokrycie</w:t>
            </w:r>
          </w:p>
        </w:tc>
        <w:tc>
          <w:tcPr>
            <w:tcW w:type="dxa" w:w="3085"/>
            <w:tcMar>
              <w:top w:type="dxa" w:w="60"/>
              <w:left w:type="dxa" w:w="80"/>
              <w:bottom w:type="dxa" w:w="60"/>
              <w:right w:type="dxa" w:w="80"/>
            </w:tcMar>
          </w:tcPr>
          <w:p>
            <w:pPr>
              <w:spacing w:after="0" w:line="240"/>
              <w:jc w:val="center"/>
            </w:pPr>
            <w:r>
              <w:rPr>
                <w:sz w:val="20"/>
                <w:szCs w:val="20"/>
              </w:rPr>
              <w:t xml:space="preserve">Brak — przerwy krótsze od zapasu</w:t>
            </w:r>
          </w:p>
        </w:tc>
      </w:tr>
    </w:tbl>
    <w:p>
      <w:pPr>
        <w:spacing w:after="200" w:before="80" w:line="240"/>
        <w:jc w:val="center"/>
      </w:pPr>
      <w:r>
        <w:rPr>
          <w:i/>
          <w:iCs/>
          <w:sz w:val="20"/>
          <w:szCs w:val="20"/>
        </w:rPr>
        <w:t xml:space="preserve">Tabela 6. Zestawienie czasów autonomii konfiguracji K1</w:t>
      </w:r>
    </w:p>
    <w:p>
      <w:pPr>
        <w:spacing w:after="120" w:before="0" w:line="360"/>
        <w:ind w:firstLine="566"/>
        <w:jc w:val="both"/>
      </w:pPr>
      <w:r>
        <w:rPr>
          <w:sz w:val="24"/>
          <w:szCs w:val="24"/>
        </w:rPr>
        <w:t xml:space="preserve">Konfiguracja K1 radzi sobie w pełni z przerwami krótkotrwałymi (wariant A2), natomiast w scenariuszu black-sky zapewnia jedynie 62% wymaganego czasu przy pełnym obciążeniu obiektu.</w:t>
      </w:r>
    </w:p>
    <w:p>
      <w:r>
        <w:br w:type="page"/>
      </w:r>
    </w:p>
    <w:p>
      <w:pPr>
        <w:pStyle w:val="Heading1"/>
        <w:spacing w:after="240" w:before="240" w:line="360"/>
      </w:pPr>
      <w:r>
        <w:rPr>
          <w:b/>
          <w:bCs/>
          <w:sz w:val="28"/>
          <w:szCs w:val="28"/>
        </w:rPr>
        <w:t xml:space="preserve">2. Konfiguracja K2 — układ hybrydowy</w:t>
      </w:r>
    </w:p>
    <w:p>
      <w:pPr>
        <w:spacing w:after="120" w:before="0" w:line="360"/>
        <w:ind w:firstLine="566"/>
        <w:jc w:val="both"/>
      </w:pPr>
      <w:r>
        <w:rPr>
          <w:sz w:val="24"/>
          <w:szCs w:val="24"/>
        </w:rPr>
        <w:t xml:space="preserve">Architektura: sieć + instalacja fotowoltaiczna 150 kW + bateryjny magazyn energii 200 kWh. Wariant analizowany bez agregatu, w celu wyznaczenia zdolności samych źródeł odnawialnych.</w:t>
      </w:r>
    </w:p>
    <w:p>
      <w:pPr>
        <w:pStyle w:val="Heading2"/>
        <w:spacing w:after="180" w:before="240" w:line="360"/>
      </w:pPr>
      <w:r>
        <w:rPr>
          <w:b/>
          <w:bCs/>
          <w:sz w:val="28"/>
          <w:szCs w:val="28"/>
        </w:rPr>
        <w:t xml:space="preserve">2.1. Autonomia magazynu bateryjnego</w:t>
      </w:r>
    </w:p>
    <w:tbl>
      <w:tblPr>
        <w:tblW w:type="dxa" w:w="9073"/>
        <w:tblBorders>
          <w:top w:val="single" w:color="auto" w:sz="4"/>
          <w:left w:val="single" w:color="auto" w:sz="4"/>
          <w:bottom w:val="single" w:color="auto" w:sz="4"/>
          <w:right w:val="single" w:color="auto" w:sz="4"/>
          <w:insideH w:val="single" w:color="auto" w:sz="4"/>
          <w:insideV w:val="single" w:color="auto" w:sz="4"/>
        </w:tblBorders>
      </w:tblPr>
      <w:tblGrid>
        <w:gridCol w:w="3629"/>
        <w:gridCol w:w="1996"/>
        <w:gridCol w:w="3448"/>
      </w:tblGrid>
      <w:tr>
        <w:trPr>
          <w:tblHeader/>
        </w:trPr>
        <w:tc>
          <w:tcPr>
            <w:tcW w:type="dxa" w:w="3629"/>
            <w:shd w:fill="D9E2F3" w:val="clear"/>
            <w:tcMar>
              <w:top w:type="dxa" w:w="60"/>
              <w:left w:type="dxa" w:w="80"/>
              <w:bottom w:type="dxa" w:w="60"/>
              <w:right w:type="dxa" w:w="80"/>
            </w:tcMar>
          </w:tcPr>
          <w:p>
            <w:pPr>
              <w:spacing w:after="0" w:line="240"/>
              <w:jc w:val="left"/>
            </w:pPr>
            <w:r>
              <w:rPr>
                <w:b/>
                <w:bCs/>
                <w:sz w:val="20"/>
                <w:szCs w:val="20"/>
              </w:rPr>
              <w:t xml:space="preserve">Wielkość</w:t>
            </w:r>
          </w:p>
        </w:tc>
        <w:tc>
          <w:tcPr>
            <w:tcW w:type="dxa" w:w="1996"/>
            <w:shd w:fill="D9E2F3" w:val="clear"/>
            <w:tcMar>
              <w:top w:type="dxa" w:w="60"/>
              <w:left w:type="dxa" w:w="80"/>
              <w:bottom w:type="dxa" w:w="60"/>
              <w:right w:type="dxa" w:w="80"/>
            </w:tcMar>
          </w:tcPr>
          <w:p>
            <w:pPr>
              <w:spacing w:after="0" w:line="240"/>
              <w:jc w:val="center"/>
            </w:pPr>
            <w:r>
              <w:rPr>
                <w:b/>
                <w:bCs/>
                <w:sz w:val="20"/>
                <w:szCs w:val="20"/>
              </w:rPr>
              <w:t xml:space="preserve">Wartość</w:t>
            </w:r>
          </w:p>
        </w:tc>
        <w:tc>
          <w:tcPr>
            <w:tcW w:type="dxa" w:w="3448"/>
            <w:shd w:fill="D9E2F3" w:val="clear"/>
            <w:tcMar>
              <w:top w:type="dxa" w:w="60"/>
              <w:left w:type="dxa" w:w="80"/>
              <w:bottom w:type="dxa" w:w="60"/>
              <w:right w:type="dxa" w:w="80"/>
            </w:tcMar>
          </w:tcPr>
          <w:p>
            <w:pPr>
              <w:spacing w:after="0" w:line="240"/>
              <w:jc w:val="center"/>
            </w:pPr>
            <w:r>
              <w:rPr>
                <w:b/>
                <w:bCs/>
                <w:sz w:val="20"/>
                <w:szCs w:val="20"/>
              </w:rPr>
              <w:t xml:space="preserve">Obliczenie</w:t>
            </w:r>
          </w:p>
        </w:tc>
      </w:tr>
      <w:tr>
        <w:trPr>
          <w:tblHeader w:val="false"/>
        </w:trPr>
        <w:tc>
          <w:tcPr>
            <w:tcW w:type="dxa" w:w="3629"/>
            <w:tcMar>
              <w:top w:type="dxa" w:w="60"/>
              <w:left w:type="dxa" w:w="80"/>
              <w:bottom w:type="dxa" w:w="60"/>
              <w:right w:type="dxa" w:w="80"/>
            </w:tcMar>
          </w:tcPr>
          <w:p>
            <w:pPr>
              <w:spacing w:after="0" w:line="240"/>
              <w:jc w:val="left"/>
            </w:pPr>
            <w:r>
              <w:rPr>
                <w:b w:val="false"/>
                <w:bCs w:val="false"/>
                <w:sz w:val="20"/>
                <w:szCs w:val="20"/>
              </w:rPr>
              <w:t xml:space="preserve">Pojemność nominalna BESS</w:t>
            </w:r>
          </w:p>
        </w:tc>
        <w:tc>
          <w:tcPr>
            <w:tcW w:type="dxa" w:w="1996"/>
            <w:tcMar>
              <w:top w:type="dxa" w:w="60"/>
              <w:left w:type="dxa" w:w="80"/>
              <w:bottom w:type="dxa" w:w="60"/>
              <w:right w:type="dxa" w:w="80"/>
            </w:tcMar>
          </w:tcPr>
          <w:p>
            <w:pPr>
              <w:spacing w:after="0" w:line="240"/>
              <w:jc w:val="center"/>
            </w:pPr>
            <w:r>
              <w:rPr>
                <w:b w:val="false"/>
                <w:bCs w:val="false"/>
                <w:sz w:val="20"/>
                <w:szCs w:val="20"/>
              </w:rPr>
              <w:t xml:space="preserve">200 kWh</w:t>
            </w:r>
          </w:p>
        </w:tc>
        <w:tc>
          <w:tcPr>
            <w:tcW w:type="dxa" w:w="3448"/>
            <w:tcMar>
              <w:top w:type="dxa" w:w="60"/>
              <w:left w:type="dxa" w:w="80"/>
              <w:bottom w:type="dxa" w:w="60"/>
              <w:right w:type="dxa" w:w="80"/>
            </w:tcMar>
          </w:tcPr>
          <w:p>
            <w:pPr>
              <w:spacing w:after="0" w:line="240"/>
              <w:jc w:val="center"/>
            </w:pPr>
            <w:r>
              <w:rPr>
                <w:b w:val="false"/>
                <w:bCs w:val="false"/>
                <w:sz w:val="20"/>
                <w:szCs w:val="20"/>
              </w:rPr>
              <w:t xml:space="preserve">2 moduły po 100 kWh</w:t>
            </w:r>
          </w:p>
        </w:tc>
      </w:tr>
      <w:tr>
        <w:trPr>
          <w:tblHeader w:val="false"/>
        </w:trPr>
        <w:tc>
          <w:tcPr>
            <w:tcW w:type="dxa" w:w="3629"/>
            <w:tcMar>
              <w:top w:type="dxa" w:w="60"/>
              <w:left w:type="dxa" w:w="80"/>
              <w:bottom w:type="dxa" w:w="60"/>
              <w:right w:type="dxa" w:w="80"/>
            </w:tcMar>
          </w:tcPr>
          <w:p>
            <w:pPr>
              <w:spacing w:after="0" w:line="240"/>
              <w:jc w:val="left"/>
            </w:pPr>
            <w:r>
              <w:rPr>
                <w:b w:val="false"/>
                <w:bCs w:val="false"/>
                <w:sz w:val="20"/>
                <w:szCs w:val="20"/>
              </w:rPr>
              <w:t xml:space="preserve">Minimalny stan naładowania</w:t>
            </w:r>
          </w:p>
        </w:tc>
        <w:tc>
          <w:tcPr>
            <w:tcW w:type="dxa" w:w="1996"/>
            <w:tcMar>
              <w:top w:type="dxa" w:w="60"/>
              <w:left w:type="dxa" w:w="80"/>
              <w:bottom w:type="dxa" w:w="60"/>
              <w:right w:type="dxa" w:w="80"/>
            </w:tcMar>
          </w:tcPr>
          <w:p>
            <w:pPr>
              <w:spacing w:after="0" w:line="240"/>
              <w:jc w:val="center"/>
            </w:pPr>
            <w:r>
              <w:rPr>
                <w:b w:val="false"/>
                <w:bCs w:val="false"/>
                <w:sz w:val="20"/>
                <w:szCs w:val="20"/>
              </w:rPr>
              <w:t xml:space="preserve">40%</w:t>
            </w:r>
          </w:p>
        </w:tc>
        <w:tc>
          <w:tcPr>
            <w:tcW w:type="dxa" w:w="3448"/>
            <w:tcMar>
              <w:top w:type="dxa" w:w="60"/>
              <w:left w:type="dxa" w:w="80"/>
              <w:bottom w:type="dxa" w:w="60"/>
              <w:right w:type="dxa" w:w="80"/>
            </w:tcMar>
          </w:tcPr>
          <w:p>
            <w:pPr>
              <w:spacing w:after="0" w:line="240"/>
              <w:jc w:val="center"/>
            </w:pPr>
            <w:r>
              <w:rPr>
                <w:b w:val="false"/>
                <w:bCs w:val="false"/>
                <w:sz w:val="20"/>
                <w:szCs w:val="20"/>
              </w:rPr>
              <w:t xml:space="preserve">Rezerwa dla klasy 0,5 s</w:t>
            </w:r>
          </w:p>
        </w:tc>
      </w:tr>
      <w:tr>
        <w:trPr>
          <w:tblHeader w:val="false"/>
        </w:trPr>
        <w:tc>
          <w:tcPr>
            <w:tcW w:type="dxa" w:w="3629"/>
            <w:tcMar>
              <w:top w:type="dxa" w:w="60"/>
              <w:left w:type="dxa" w:w="80"/>
              <w:bottom w:type="dxa" w:w="60"/>
              <w:right w:type="dxa" w:w="80"/>
            </w:tcMar>
          </w:tcPr>
          <w:p>
            <w:pPr>
              <w:spacing w:after="0" w:line="240"/>
              <w:jc w:val="left"/>
            </w:pPr>
            <w:r>
              <w:rPr>
                <w:b w:val="false"/>
                <w:bCs w:val="false"/>
                <w:sz w:val="20"/>
                <w:szCs w:val="20"/>
              </w:rPr>
              <w:t xml:space="preserve">Pojemność użyteczna</w:t>
            </w:r>
          </w:p>
        </w:tc>
        <w:tc>
          <w:tcPr>
            <w:tcW w:type="dxa" w:w="1996"/>
            <w:tcMar>
              <w:top w:type="dxa" w:w="60"/>
              <w:left w:type="dxa" w:w="80"/>
              <w:bottom w:type="dxa" w:w="60"/>
              <w:right w:type="dxa" w:w="80"/>
            </w:tcMar>
          </w:tcPr>
          <w:p>
            <w:pPr>
              <w:spacing w:after="0" w:line="240"/>
              <w:jc w:val="center"/>
            </w:pPr>
            <w:r>
              <w:rPr>
                <w:b w:val="false"/>
                <w:bCs w:val="false"/>
                <w:sz w:val="20"/>
                <w:szCs w:val="20"/>
              </w:rPr>
              <w:t xml:space="preserve">120 kWh</w:t>
            </w:r>
          </w:p>
        </w:tc>
        <w:tc>
          <w:tcPr>
            <w:tcW w:type="dxa" w:w="3448"/>
            <w:tcMar>
              <w:top w:type="dxa" w:w="60"/>
              <w:left w:type="dxa" w:w="80"/>
              <w:bottom w:type="dxa" w:w="60"/>
              <w:right w:type="dxa" w:w="80"/>
            </w:tcMar>
          </w:tcPr>
          <w:p>
            <w:pPr>
              <w:spacing w:after="0" w:line="240"/>
              <w:jc w:val="center"/>
            </w:pPr>
            <w:r>
              <w:rPr>
                <w:b w:val="false"/>
                <w:bCs w:val="false"/>
                <w:sz w:val="20"/>
                <w:szCs w:val="20"/>
              </w:rPr>
              <w:t xml:space="preserve">200 × (1 − 0,40)</w:t>
            </w:r>
          </w:p>
        </w:tc>
      </w:tr>
      <w:tr>
        <w:trPr>
          <w:tblHeader w:val="false"/>
        </w:trPr>
        <w:tc>
          <w:tcPr>
            <w:tcW w:type="dxa" w:w="3629"/>
            <w:tcMar>
              <w:top w:type="dxa" w:w="60"/>
              <w:left w:type="dxa" w:w="80"/>
              <w:bottom w:type="dxa" w:w="60"/>
              <w:right w:type="dxa" w:w="80"/>
            </w:tcMar>
          </w:tcPr>
          <w:p>
            <w:pPr>
              <w:spacing w:after="0" w:line="240"/>
              <w:jc w:val="left"/>
            </w:pPr>
            <w:r>
              <w:rPr>
                <w:b w:val="false"/>
                <w:bCs w:val="false"/>
                <w:sz w:val="20"/>
                <w:szCs w:val="20"/>
              </w:rPr>
              <w:t xml:space="preserve">Obciążenie średnie w styczniu</w:t>
            </w:r>
          </w:p>
        </w:tc>
        <w:tc>
          <w:tcPr>
            <w:tcW w:type="dxa" w:w="1996"/>
            <w:tcMar>
              <w:top w:type="dxa" w:w="60"/>
              <w:left w:type="dxa" w:w="80"/>
              <w:bottom w:type="dxa" w:w="60"/>
              <w:right w:type="dxa" w:w="80"/>
            </w:tcMar>
          </w:tcPr>
          <w:p>
            <w:pPr>
              <w:spacing w:after="0" w:line="240"/>
              <w:jc w:val="center"/>
            </w:pPr>
            <w:r>
              <w:rPr>
                <w:b w:val="false"/>
                <w:bCs w:val="false"/>
                <w:sz w:val="20"/>
                <w:szCs w:val="20"/>
              </w:rPr>
              <w:t xml:space="preserve">121,7 kW</w:t>
            </w:r>
          </w:p>
        </w:tc>
        <w:tc>
          <w:tcPr>
            <w:tcW w:type="dxa" w:w="3448"/>
            <w:tcMar>
              <w:top w:type="dxa" w:w="60"/>
              <w:left w:type="dxa" w:w="80"/>
              <w:bottom w:type="dxa" w:w="60"/>
              <w:right w:type="dxa" w:w="80"/>
            </w:tcMar>
          </w:tcPr>
          <w:p>
            <w:pPr>
              <w:spacing w:after="0" w:line="240"/>
              <w:jc w:val="center"/>
            </w:pPr>
            <w:r>
              <w:rPr>
                <w:b w:val="false"/>
                <w:bCs w:val="false"/>
                <w:sz w:val="20"/>
                <w:szCs w:val="20"/>
              </w:rPr>
              <w:t xml:space="preserve">Z profilu godzinowego</w:t>
            </w:r>
          </w:p>
        </w:tc>
      </w:tr>
      <w:tr>
        <w:trPr>
          <w:tblHeader w:val="false"/>
        </w:trPr>
        <w:tc>
          <w:tcPr>
            <w:tcW w:type="dxa" w:w="3629"/>
            <w:shd w:fill="FCE4E4" w:val="clear"/>
            <w:tcMar>
              <w:top w:type="dxa" w:w="60"/>
              <w:left w:type="dxa" w:w="80"/>
              <w:bottom w:type="dxa" w:w="60"/>
              <w:right w:type="dxa" w:w="80"/>
            </w:tcMar>
          </w:tcPr>
          <w:p>
            <w:pPr>
              <w:spacing w:after="0" w:line="240"/>
              <w:jc w:val="left"/>
            </w:pPr>
            <w:r>
              <w:rPr>
                <w:b/>
                <w:bCs/>
                <w:sz w:val="20"/>
                <w:szCs w:val="20"/>
              </w:rPr>
              <w:t xml:space="preserve">CZAS AUTONOMII Z SAMEGO BESS</w:t>
            </w:r>
          </w:p>
        </w:tc>
        <w:tc>
          <w:tcPr>
            <w:tcW w:type="dxa" w:w="1996"/>
            <w:shd w:fill="FCE4E4" w:val="clear"/>
            <w:tcMar>
              <w:top w:type="dxa" w:w="60"/>
              <w:left w:type="dxa" w:w="80"/>
              <w:bottom w:type="dxa" w:w="60"/>
              <w:right w:type="dxa" w:w="80"/>
            </w:tcMar>
          </w:tcPr>
          <w:p>
            <w:pPr>
              <w:spacing w:after="0" w:line="240"/>
              <w:jc w:val="center"/>
            </w:pPr>
            <w:r>
              <w:rPr>
                <w:b w:val="false"/>
                <w:bCs w:val="false"/>
                <w:sz w:val="20"/>
                <w:szCs w:val="20"/>
              </w:rPr>
              <w:t xml:space="preserve">0,99 h</w:t>
            </w:r>
          </w:p>
        </w:tc>
        <w:tc>
          <w:tcPr>
            <w:tcW w:type="dxa" w:w="3448"/>
            <w:shd w:fill="FCE4E4" w:val="clear"/>
            <w:tcMar>
              <w:top w:type="dxa" w:w="60"/>
              <w:left w:type="dxa" w:w="80"/>
              <w:bottom w:type="dxa" w:w="60"/>
              <w:right w:type="dxa" w:w="80"/>
            </w:tcMar>
          </w:tcPr>
          <w:p>
            <w:pPr>
              <w:spacing w:after="0" w:line="240"/>
              <w:jc w:val="center"/>
            </w:pPr>
            <w:r>
              <w:rPr>
                <w:b w:val="false"/>
                <w:bCs w:val="false"/>
                <w:sz w:val="20"/>
                <w:szCs w:val="20"/>
              </w:rPr>
              <w:t xml:space="preserve">120 ÷ 121,7</w:t>
            </w:r>
          </w:p>
        </w:tc>
      </w:tr>
    </w:tbl>
    <w:p>
      <w:pPr>
        <w:spacing w:after="200" w:before="80" w:line="240"/>
        <w:jc w:val="center"/>
      </w:pPr>
      <w:r>
        <w:rPr>
          <w:i/>
          <w:iCs/>
          <w:sz w:val="20"/>
          <w:szCs w:val="20"/>
        </w:rPr>
        <w:t xml:space="preserve">Tabela 7. Wyznaczenie czasu autonomii magazynu bateryjnego</w:t>
      </w:r>
    </w:p>
    <w:p>
      <w:pPr>
        <w:spacing w:after="120" w:before="0" w:line="360"/>
        <w:ind w:firstLine="566"/>
        <w:jc w:val="both"/>
      </w:pPr>
      <w:r>
        <w:rPr>
          <w:sz w:val="24"/>
          <w:szCs w:val="24"/>
        </w:rPr>
        <w:t xml:space="preserve">Magazyn o pojemności 200 kWh zapewnia niespełna jedną godzinę pracy autonomicznej przy pełnym obciążeniu obiektu — wobec wymaganych 72 godzin. Stanowi to 1,4% wymaganego czasu.</w:t>
      </w:r>
    </w:p>
    <w:p>
      <w:pPr>
        <w:pStyle w:val="Heading2"/>
        <w:spacing w:after="180" w:before="240" w:line="360"/>
      </w:pPr>
      <w:r>
        <w:rPr>
          <w:b/>
          <w:bCs/>
          <w:sz w:val="28"/>
          <w:szCs w:val="28"/>
        </w:rPr>
        <w:t xml:space="preserve">2.2. Wkład instalacji fotowoltaicznej w warunkach zimowych</w:t>
      </w:r>
    </w:p>
    <w:p>
      <w:pPr>
        <w:spacing w:after="120" w:before="0" w:line="360"/>
        <w:ind w:firstLine="566"/>
        <w:jc w:val="both"/>
      </w:pPr>
      <w:r>
        <w:rPr>
          <w:sz w:val="24"/>
          <w:szCs w:val="24"/>
        </w:rPr>
        <w:t xml:space="preserve">Symulacja wykazała, że układ PV + BESS pokrył łącznie 796 kWh z wymaganych 8 762 kWh, co odpowiada 9,1% zapotrzebowania. W przeliczeniu na czas pełnego zasilania daje to równoważnik 6,5 godziny, rozłożony jednak nierównomiernie — wyłącznie w godzinach dziennych.</w:t>
      </w:r>
    </w:p>
    <w:tbl>
      <w:tblPr>
        <w:tblW w:type="dxa" w:w="9073"/>
        <w:tblBorders>
          <w:top w:val="single" w:color="auto" w:sz="4"/>
          <w:left w:val="single" w:color="auto" w:sz="4"/>
          <w:bottom w:val="single" w:color="auto" w:sz="4"/>
          <w:right w:val="single" w:color="auto" w:sz="4"/>
          <w:insideH w:val="single" w:color="auto" w:sz="4"/>
          <w:insideV w:val="single" w:color="auto" w:sz="4"/>
        </w:tblBorders>
      </w:tblPr>
      <w:tblGrid>
        <w:gridCol w:w="5625"/>
        <w:gridCol w:w="3448"/>
      </w:tblGrid>
      <w:tr>
        <w:trPr>
          <w:tblHeader/>
        </w:trPr>
        <w:tc>
          <w:tcPr>
            <w:tcW w:type="dxa" w:w="5625"/>
            <w:shd w:fill="D9E2F3" w:val="clear"/>
            <w:tcMar>
              <w:top w:type="dxa" w:w="60"/>
              <w:left w:type="dxa" w:w="80"/>
              <w:bottom w:type="dxa" w:w="60"/>
              <w:right w:type="dxa" w:w="80"/>
            </w:tcMar>
          </w:tcPr>
          <w:p>
            <w:pPr>
              <w:spacing w:after="0" w:line="240"/>
              <w:jc w:val="left"/>
            </w:pPr>
            <w:r>
              <w:rPr>
                <w:b/>
                <w:bCs/>
                <w:sz w:val="20"/>
                <w:szCs w:val="20"/>
              </w:rPr>
              <w:t xml:space="preserve">Wielkość</w:t>
            </w:r>
          </w:p>
        </w:tc>
        <w:tc>
          <w:tcPr>
            <w:tcW w:type="dxa" w:w="3448"/>
            <w:shd w:fill="D9E2F3" w:val="clear"/>
            <w:tcMar>
              <w:top w:type="dxa" w:w="60"/>
              <w:left w:type="dxa" w:w="80"/>
              <w:bottom w:type="dxa" w:w="60"/>
              <w:right w:type="dxa" w:w="80"/>
            </w:tcMar>
          </w:tcPr>
          <w:p>
            <w:pPr>
              <w:spacing w:after="0" w:line="240"/>
              <w:jc w:val="center"/>
            </w:pPr>
            <w:r>
              <w:rPr>
                <w:b/>
                <w:bCs/>
                <w:sz w:val="20"/>
                <w:szCs w:val="20"/>
              </w:rPr>
              <w:t xml:space="preserve">Wartość</w:t>
            </w:r>
          </w:p>
        </w:tc>
      </w:tr>
      <w:tr>
        <w:trPr>
          <w:tblHeader w:val="false"/>
        </w:trPr>
        <w:tc>
          <w:tcPr>
            <w:tcW w:type="dxa" w:w="5625"/>
            <w:tcMar>
              <w:top w:type="dxa" w:w="60"/>
              <w:left w:type="dxa" w:w="80"/>
              <w:bottom w:type="dxa" w:w="60"/>
              <w:right w:type="dxa" w:w="80"/>
            </w:tcMar>
          </w:tcPr>
          <w:p>
            <w:pPr>
              <w:spacing w:after="0" w:line="240"/>
              <w:jc w:val="left"/>
            </w:pPr>
            <w:r>
              <w:rPr>
                <w:b w:val="false"/>
                <w:bCs w:val="false"/>
                <w:sz w:val="20"/>
                <w:szCs w:val="20"/>
              </w:rPr>
              <w:t xml:space="preserve">Energia pokryta (PV + BESS)</w:t>
            </w:r>
          </w:p>
        </w:tc>
        <w:tc>
          <w:tcPr>
            <w:tcW w:type="dxa" w:w="3448"/>
            <w:tcMar>
              <w:top w:type="dxa" w:w="60"/>
              <w:left w:type="dxa" w:w="80"/>
              <w:bottom w:type="dxa" w:w="60"/>
              <w:right w:type="dxa" w:w="80"/>
            </w:tcMar>
          </w:tcPr>
          <w:p>
            <w:pPr>
              <w:spacing w:after="0" w:line="240"/>
              <w:jc w:val="center"/>
            </w:pPr>
            <w:r>
              <w:rPr>
                <w:b w:val="false"/>
                <w:bCs w:val="false"/>
                <w:sz w:val="20"/>
                <w:szCs w:val="20"/>
              </w:rPr>
              <w:t xml:space="preserve">796 kWh</w:t>
            </w:r>
          </w:p>
        </w:tc>
      </w:tr>
      <w:tr>
        <w:trPr>
          <w:tblHeader w:val="false"/>
        </w:trPr>
        <w:tc>
          <w:tcPr>
            <w:tcW w:type="dxa" w:w="5625"/>
            <w:tcMar>
              <w:top w:type="dxa" w:w="60"/>
              <w:left w:type="dxa" w:w="80"/>
              <w:bottom w:type="dxa" w:w="60"/>
              <w:right w:type="dxa" w:w="80"/>
            </w:tcMar>
          </w:tcPr>
          <w:p>
            <w:pPr>
              <w:spacing w:after="0" w:line="240"/>
              <w:jc w:val="left"/>
            </w:pPr>
            <w:r>
              <w:rPr>
                <w:b w:val="false"/>
                <w:bCs w:val="false"/>
                <w:sz w:val="20"/>
                <w:szCs w:val="20"/>
              </w:rPr>
              <w:t xml:space="preserve">Energia wymagana</w:t>
            </w:r>
          </w:p>
        </w:tc>
        <w:tc>
          <w:tcPr>
            <w:tcW w:type="dxa" w:w="3448"/>
            <w:tcMar>
              <w:top w:type="dxa" w:w="60"/>
              <w:left w:type="dxa" w:w="80"/>
              <w:bottom w:type="dxa" w:w="60"/>
              <w:right w:type="dxa" w:w="80"/>
            </w:tcMar>
          </w:tcPr>
          <w:p>
            <w:pPr>
              <w:spacing w:after="0" w:line="240"/>
              <w:jc w:val="center"/>
            </w:pPr>
            <w:r>
              <w:rPr>
                <w:b w:val="false"/>
                <w:bCs w:val="false"/>
                <w:sz w:val="20"/>
                <w:szCs w:val="20"/>
              </w:rPr>
              <w:t xml:space="preserve">8 762 kWh</w:t>
            </w:r>
          </w:p>
        </w:tc>
      </w:tr>
      <w:tr>
        <w:trPr>
          <w:tblHeader w:val="false"/>
        </w:trPr>
        <w:tc>
          <w:tcPr>
            <w:tcW w:type="dxa" w:w="5625"/>
            <w:tcMar>
              <w:top w:type="dxa" w:w="60"/>
              <w:left w:type="dxa" w:w="80"/>
              <w:bottom w:type="dxa" w:w="60"/>
              <w:right w:type="dxa" w:w="80"/>
            </w:tcMar>
          </w:tcPr>
          <w:p>
            <w:pPr>
              <w:spacing w:after="0" w:line="240"/>
              <w:jc w:val="left"/>
            </w:pPr>
            <w:r>
              <w:rPr>
                <w:b w:val="false"/>
                <w:bCs w:val="false"/>
                <w:sz w:val="20"/>
                <w:szCs w:val="20"/>
              </w:rPr>
              <w:t xml:space="preserve">Pokrycie</w:t>
            </w:r>
          </w:p>
        </w:tc>
        <w:tc>
          <w:tcPr>
            <w:tcW w:type="dxa" w:w="3448"/>
            <w:tcMar>
              <w:top w:type="dxa" w:w="60"/>
              <w:left w:type="dxa" w:w="80"/>
              <w:bottom w:type="dxa" w:w="60"/>
              <w:right w:type="dxa" w:w="80"/>
            </w:tcMar>
          </w:tcPr>
          <w:p>
            <w:pPr>
              <w:spacing w:after="0" w:line="240"/>
              <w:jc w:val="center"/>
            </w:pPr>
            <w:r>
              <w:rPr>
                <w:b w:val="false"/>
                <w:bCs w:val="false"/>
                <w:sz w:val="20"/>
                <w:szCs w:val="20"/>
              </w:rPr>
              <w:t xml:space="preserve">9,1%</w:t>
            </w:r>
          </w:p>
        </w:tc>
      </w:tr>
      <w:tr>
        <w:trPr>
          <w:tblHeader w:val="false"/>
        </w:trPr>
        <w:tc>
          <w:tcPr>
            <w:tcW w:type="dxa" w:w="5625"/>
            <w:tcMar>
              <w:top w:type="dxa" w:w="60"/>
              <w:left w:type="dxa" w:w="80"/>
              <w:bottom w:type="dxa" w:w="60"/>
              <w:right w:type="dxa" w:w="80"/>
            </w:tcMar>
          </w:tcPr>
          <w:p>
            <w:pPr>
              <w:spacing w:after="0" w:line="240"/>
              <w:jc w:val="left"/>
            </w:pPr>
            <w:r>
              <w:rPr>
                <w:b w:val="false"/>
                <w:bCs w:val="false"/>
                <w:sz w:val="20"/>
                <w:szCs w:val="20"/>
              </w:rPr>
              <w:t xml:space="preserve">Równoważnik czasu pełnego zasilania</w:t>
            </w:r>
          </w:p>
        </w:tc>
        <w:tc>
          <w:tcPr>
            <w:tcW w:type="dxa" w:w="3448"/>
            <w:tcMar>
              <w:top w:type="dxa" w:w="60"/>
              <w:left w:type="dxa" w:w="80"/>
              <w:bottom w:type="dxa" w:w="60"/>
              <w:right w:type="dxa" w:w="80"/>
            </w:tcMar>
          </w:tcPr>
          <w:p>
            <w:pPr>
              <w:spacing w:after="0" w:line="240"/>
              <w:jc w:val="center"/>
            </w:pPr>
            <w:r>
              <w:rPr>
                <w:b w:val="false"/>
                <w:bCs w:val="false"/>
                <w:sz w:val="20"/>
                <w:szCs w:val="20"/>
              </w:rPr>
              <w:t xml:space="preserve">6,5 h</w:t>
            </w:r>
          </w:p>
        </w:tc>
      </w:tr>
      <w:tr>
        <w:trPr>
          <w:tblHeader w:val="false"/>
        </w:trPr>
        <w:tc>
          <w:tcPr>
            <w:tcW w:type="dxa" w:w="5625"/>
            <w:shd w:fill="FCE4E4" w:val="clear"/>
            <w:tcMar>
              <w:top w:type="dxa" w:w="60"/>
              <w:left w:type="dxa" w:w="80"/>
              <w:bottom w:type="dxa" w:w="60"/>
              <w:right w:type="dxa" w:w="80"/>
            </w:tcMar>
          </w:tcPr>
          <w:p>
            <w:pPr>
              <w:spacing w:after="0" w:line="240"/>
              <w:jc w:val="left"/>
            </w:pPr>
            <w:r>
              <w:rPr>
                <w:b/>
                <w:bCs/>
                <w:sz w:val="20"/>
                <w:szCs w:val="20"/>
              </w:rPr>
              <w:t xml:space="preserve">Autonomia ciągła (bez przerw)</w:t>
            </w:r>
          </w:p>
        </w:tc>
        <w:tc>
          <w:tcPr>
            <w:tcW w:type="dxa" w:w="3448"/>
            <w:shd w:fill="FCE4E4" w:val="clear"/>
            <w:tcMar>
              <w:top w:type="dxa" w:w="60"/>
              <w:left w:type="dxa" w:w="80"/>
              <w:bottom w:type="dxa" w:w="60"/>
              <w:right w:type="dxa" w:w="80"/>
            </w:tcMar>
          </w:tcPr>
          <w:p>
            <w:pPr>
              <w:spacing w:after="0" w:line="240"/>
              <w:jc w:val="center"/>
            </w:pPr>
            <w:r>
              <w:rPr>
                <w:b w:val="false"/>
                <w:bCs w:val="false"/>
                <w:sz w:val="20"/>
                <w:szCs w:val="20"/>
              </w:rPr>
              <w:t xml:space="preserve">ok. 1 h</w:t>
            </w:r>
          </w:p>
        </w:tc>
      </w:tr>
    </w:tbl>
    <w:p>
      <w:pPr>
        <w:spacing w:after="200" w:before="80" w:line="240"/>
        <w:jc w:val="center"/>
      </w:pPr>
      <w:r>
        <w:rPr>
          <w:i/>
          <w:iCs/>
          <w:sz w:val="20"/>
          <w:szCs w:val="20"/>
        </w:rPr>
        <w:t xml:space="preserve">Tabela 8. Bilans konfiguracji K2 podczas awarii 72-godzinnej</w:t>
      </w:r>
    </w:p>
    <w:p>
      <w:pPr>
        <w:spacing w:after="120" w:before="0" w:line="360"/>
        <w:ind w:firstLine="566"/>
        <w:jc w:val="both"/>
      </w:pPr>
      <w:r>
        <w:rPr>
          <w:sz w:val="24"/>
          <w:szCs w:val="24"/>
        </w:rPr>
        <w:t xml:space="preserve">Przyczyną tak niskiego wkładu instalacji fotowoltaicznej jest sezonowość zasobu. W styczniu napromieniowanie wynosi 0,73 kWh/m²/dobę, co stanowi 15% wartości majowej, a produkcja występuje wyłącznie w godzinach 9:00–15:00. W godzinach nocnych — obejmujących dwie trzecie doby zimowej — instalacja nie wytwarza energii.</w:t>
      </w:r>
    </w:p>
    <w:p>
      <w:pPr>
        <w:spacing w:after="140" w:before="200" w:line="360"/>
      </w:pPr>
      <w:r>
        <w:rPr>
          <w:b/>
          <w:bCs/>
          <w:sz w:val="24"/>
          <w:szCs w:val="24"/>
        </w:rPr>
        <w:t xml:space="preserve">Tryb awaryjny z odrzuceniem obciążeń nieistotnych</w:t>
      </w:r>
    </w:p>
    <w:tbl>
      <w:tblPr>
        <w:tblW w:type="dxa" w:w="9073"/>
        <w:tblBorders>
          <w:top w:val="single" w:color="auto" w:sz="4"/>
          <w:left w:val="single" w:color="auto" w:sz="4"/>
          <w:bottom w:val="single" w:color="auto" w:sz="4"/>
          <w:right w:val="single" w:color="auto" w:sz="4"/>
          <w:insideH w:val="single" w:color="auto" w:sz="4"/>
          <w:insideV w:val="single" w:color="auto" w:sz="4"/>
        </w:tblBorders>
      </w:tblPr>
      <w:tblGrid>
        <w:gridCol w:w="3085"/>
        <w:gridCol w:w="2994"/>
        <w:gridCol w:w="2994"/>
      </w:tblGrid>
      <w:tr>
        <w:trPr>
          <w:tblHeader/>
        </w:trPr>
        <w:tc>
          <w:tcPr>
            <w:tcW w:type="dxa" w:w="3085"/>
            <w:shd w:fill="D9E2F3" w:val="clear"/>
            <w:tcMar>
              <w:top w:type="dxa" w:w="60"/>
              <w:left w:type="dxa" w:w="80"/>
              <w:bottom w:type="dxa" w:w="60"/>
              <w:right w:type="dxa" w:w="80"/>
            </w:tcMar>
          </w:tcPr>
          <w:p>
            <w:pPr>
              <w:spacing w:after="0" w:line="240"/>
              <w:jc w:val="left"/>
            </w:pPr>
            <w:r>
              <w:rPr>
                <w:b/>
                <w:bCs/>
                <w:sz w:val="20"/>
                <w:szCs w:val="20"/>
              </w:rPr>
              <w:t xml:space="preserve">Pojemność BESS</w:t>
            </w:r>
          </w:p>
        </w:tc>
        <w:tc>
          <w:tcPr>
            <w:tcW w:type="dxa" w:w="2994"/>
            <w:shd w:fill="D9E2F3" w:val="clear"/>
            <w:tcMar>
              <w:top w:type="dxa" w:w="60"/>
              <w:left w:type="dxa" w:w="80"/>
              <w:bottom w:type="dxa" w:w="60"/>
              <w:right w:type="dxa" w:w="80"/>
            </w:tcMar>
          </w:tcPr>
          <w:p>
            <w:pPr>
              <w:spacing w:after="0" w:line="240"/>
              <w:jc w:val="center"/>
            </w:pPr>
            <w:r>
              <w:rPr>
                <w:b/>
                <w:bCs/>
                <w:sz w:val="20"/>
                <w:szCs w:val="20"/>
              </w:rPr>
              <w:t xml:space="preserve">Pełne obciążenie</w:t>
            </w:r>
          </w:p>
        </w:tc>
        <w:tc>
          <w:tcPr>
            <w:tcW w:type="dxa" w:w="2994"/>
            <w:shd w:fill="D9E2F3" w:val="clear"/>
            <w:tcMar>
              <w:top w:type="dxa" w:w="60"/>
              <w:left w:type="dxa" w:w="80"/>
              <w:bottom w:type="dxa" w:w="60"/>
              <w:right w:type="dxa" w:w="80"/>
            </w:tcMar>
          </w:tcPr>
          <w:p>
            <w:pPr>
              <w:spacing w:after="0" w:line="240"/>
              <w:jc w:val="center"/>
            </w:pPr>
            <w:r>
              <w:rPr>
                <w:b/>
                <w:bCs/>
                <w:sz w:val="20"/>
                <w:szCs w:val="20"/>
              </w:rPr>
              <w:t xml:space="preserve">Tylko odbiory krytyczne</w:t>
            </w:r>
          </w:p>
        </w:tc>
      </w:tr>
      <w:tr>
        <w:trPr>
          <w:tblHeader w:val="false"/>
        </w:trPr>
        <w:tc>
          <w:tcPr>
            <w:tcW w:type="dxa" w:w="3085"/>
            <w:tcMar>
              <w:top w:type="dxa" w:w="60"/>
              <w:left w:type="dxa" w:w="80"/>
              <w:bottom w:type="dxa" w:w="60"/>
              <w:right w:type="dxa" w:w="80"/>
            </w:tcMar>
          </w:tcPr>
          <w:p>
            <w:pPr>
              <w:spacing w:after="0" w:line="240"/>
              <w:jc w:val="left"/>
            </w:pPr>
            <w:r>
              <w:rPr>
                <w:sz w:val="20"/>
                <w:szCs w:val="20"/>
              </w:rPr>
              <w:t xml:space="preserve">200 kWh (użyt. 120)</w:t>
            </w:r>
          </w:p>
        </w:tc>
        <w:tc>
          <w:tcPr>
            <w:tcW w:type="dxa" w:w="2994"/>
            <w:tcMar>
              <w:top w:type="dxa" w:w="60"/>
              <w:left w:type="dxa" w:w="80"/>
              <w:bottom w:type="dxa" w:w="60"/>
              <w:right w:type="dxa" w:w="80"/>
            </w:tcMar>
          </w:tcPr>
          <w:p>
            <w:pPr>
              <w:spacing w:after="0" w:line="240"/>
              <w:jc w:val="center"/>
            </w:pPr>
            <w:r>
              <w:rPr>
                <w:sz w:val="20"/>
                <w:szCs w:val="20"/>
              </w:rPr>
              <w:t xml:space="preserve">1,0 h</w:t>
            </w:r>
          </w:p>
        </w:tc>
        <w:tc>
          <w:tcPr>
            <w:tcW w:type="dxa" w:w="2994"/>
            <w:tcMar>
              <w:top w:type="dxa" w:w="60"/>
              <w:left w:type="dxa" w:w="80"/>
              <w:bottom w:type="dxa" w:w="60"/>
              <w:right w:type="dxa" w:w="80"/>
            </w:tcMar>
          </w:tcPr>
          <w:p>
            <w:pPr>
              <w:spacing w:after="0" w:line="240"/>
              <w:jc w:val="center"/>
            </w:pPr>
            <w:r>
              <w:rPr>
                <w:sz w:val="20"/>
                <w:szCs w:val="20"/>
              </w:rPr>
              <w:t xml:space="preserve">2,5 h</w:t>
            </w:r>
          </w:p>
        </w:tc>
      </w:tr>
      <w:tr>
        <w:trPr>
          <w:tblHeader w:val="false"/>
        </w:trPr>
        <w:tc>
          <w:tcPr>
            <w:tcW w:type="dxa" w:w="3085"/>
            <w:tcMar>
              <w:top w:type="dxa" w:w="60"/>
              <w:left w:type="dxa" w:w="80"/>
              <w:bottom w:type="dxa" w:w="60"/>
              <w:right w:type="dxa" w:w="80"/>
            </w:tcMar>
          </w:tcPr>
          <w:p>
            <w:pPr>
              <w:spacing w:after="0" w:line="240"/>
              <w:jc w:val="left"/>
            </w:pPr>
            <w:r>
              <w:rPr>
                <w:sz w:val="20"/>
                <w:szCs w:val="20"/>
              </w:rPr>
              <w:t xml:space="preserve">600 kWh (użyt. 360)</w:t>
            </w:r>
          </w:p>
        </w:tc>
        <w:tc>
          <w:tcPr>
            <w:tcW w:type="dxa" w:w="2994"/>
            <w:tcMar>
              <w:top w:type="dxa" w:w="60"/>
              <w:left w:type="dxa" w:w="80"/>
              <w:bottom w:type="dxa" w:w="60"/>
              <w:right w:type="dxa" w:w="80"/>
            </w:tcMar>
          </w:tcPr>
          <w:p>
            <w:pPr>
              <w:spacing w:after="0" w:line="240"/>
              <w:jc w:val="center"/>
            </w:pPr>
            <w:r>
              <w:rPr>
                <w:sz w:val="20"/>
                <w:szCs w:val="20"/>
              </w:rPr>
              <w:t xml:space="preserve">3,0 h</w:t>
            </w:r>
          </w:p>
        </w:tc>
        <w:tc>
          <w:tcPr>
            <w:tcW w:type="dxa" w:w="2994"/>
            <w:tcMar>
              <w:top w:type="dxa" w:w="60"/>
              <w:left w:type="dxa" w:w="80"/>
              <w:bottom w:type="dxa" w:w="60"/>
              <w:right w:type="dxa" w:w="80"/>
            </w:tcMar>
          </w:tcPr>
          <w:p>
            <w:pPr>
              <w:spacing w:after="0" w:line="240"/>
              <w:jc w:val="center"/>
            </w:pPr>
            <w:r>
              <w:rPr>
                <w:sz w:val="20"/>
                <w:szCs w:val="20"/>
              </w:rPr>
              <w:t xml:space="preserve">7,5 h</w:t>
            </w:r>
          </w:p>
        </w:tc>
      </w:tr>
      <w:tr>
        <w:trPr>
          <w:tblHeader w:val="false"/>
        </w:trPr>
        <w:tc>
          <w:tcPr>
            <w:tcW w:type="dxa" w:w="3085"/>
            <w:shd w:fill="FFF2CC" w:val="clear"/>
            <w:tcMar>
              <w:top w:type="dxa" w:w="60"/>
              <w:left w:type="dxa" w:w="80"/>
              <w:bottom w:type="dxa" w:w="60"/>
              <w:right w:type="dxa" w:w="80"/>
            </w:tcMar>
          </w:tcPr>
          <w:p>
            <w:pPr>
              <w:spacing w:after="0" w:line="240"/>
              <w:jc w:val="left"/>
            </w:pPr>
            <w:r>
              <w:rPr>
                <w:b/>
                <w:bCs/>
                <w:sz w:val="20"/>
                <w:szCs w:val="20"/>
              </w:rPr>
              <w:t xml:space="preserve">1 200 kWh (użyt. 720)</w:t>
            </w:r>
          </w:p>
        </w:tc>
        <w:tc>
          <w:tcPr>
            <w:tcW w:type="dxa" w:w="2994"/>
            <w:shd w:fill="FFF2CC" w:val="clear"/>
            <w:tcMar>
              <w:top w:type="dxa" w:w="60"/>
              <w:left w:type="dxa" w:w="80"/>
              <w:bottom w:type="dxa" w:w="60"/>
              <w:right w:type="dxa" w:w="80"/>
            </w:tcMar>
          </w:tcPr>
          <w:p>
            <w:pPr>
              <w:spacing w:after="0" w:line="240"/>
              <w:jc w:val="center"/>
            </w:pPr>
            <w:r>
              <w:rPr>
                <w:sz w:val="20"/>
                <w:szCs w:val="20"/>
              </w:rPr>
              <w:t xml:space="preserve">5,9 h</w:t>
            </w:r>
          </w:p>
        </w:tc>
        <w:tc>
          <w:tcPr>
            <w:tcW w:type="dxa" w:w="2994"/>
            <w:shd w:fill="FFF2CC" w:val="clear"/>
            <w:tcMar>
              <w:top w:type="dxa" w:w="60"/>
              <w:left w:type="dxa" w:w="80"/>
              <w:bottom w:type="dxa" w:w="60"/>
              <w:right w:type="dxa" w:w="80"/>
            </w:tcMar>
          </w:tcPr>
          <w:p>
            <w:pPr>
              <w:spacing w:after="0" w:line="240"/>
              <w:jc w:val="center"/>
            </w:pPr>
            <w:r>
              <w:rPr>
                <w:sz w:val="20"/>
                <w:szCs w:val="20"/>
              </w:rPr>
              <w:t xml:space="preserve">15,0 h</w:t>
            </w:r>
          </w:p>
        </w:tc>
      </w:tr>
    </w:tbl>
    <w:p>
      <w:pPr>
        <w:spacing w:after="200" w:before="80" w:line="240"/>
        <w:jc w:val="center"/>
      </w:pPr>
      <w:r>
        <w:rPr>
          <w:i/>
          <w:iCs/>
          <w:sz w:val="20"/>
          <w:szCs w:val="20"/>
        </w:rPr>
        <w:t xml:space="preserve">Tabela 9. Czas autonomii K2 w funkcji pojemności magazynu</w:t>
      </w:r>
    </w:p>
    <w:p>
      <w:pPr>
        <w:spacing w:after="60" w:before="120"/>
        <w:jc w:val="center"/>
      </w:pPr>
      <w:r>
        <w:drawing>
          <wp:inline distT="0" distB="0" distL="0" distR="0">
            <wp:extent cx="41910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2152650"/>
                    </a:xfrm>
                    <a:prstGeom prst="rect">
                      <a:avLst/>
                    </a:prstGeom>
                  </pic:spPr>
                </pic:pic>
              </a:graphicData>
            </a:graphic>
          </wp:inline>
        </w:drawing>
      </w:r>
    </w:p>
    <w:p>
      <w:pPr>
        <w:spacing w:after="200" w:before="80" w:line="240"/>
        <w:jc w:val="center"/>
      </w:pPr>
      <w:r>
        <w:rPr>
          <w:i/>
          <w:iCs/>
          <w:sz w:val="20"/>
          <w:szCs w:val="20"/>
        </w:rPr>
        <w:t xml:space="preserve">Rysunek 3. Konfiguracja K2 — zależność czasu autonomii od pojemności magazynu</w:t>
      </w:r>
    </w:p>
    <w:p>
      <w:pPr>
        <w:spacing w:after="120" w:before="0" w:line="360"/>
        <w:ind w:firstLine="566"/>
        <w:jc w:val="both"/>
      </w:pPr>
      <w:r>
        <w:rPr>
          <w:sz w:val="24"/>
          <w:szCs w:val="24"/>
        </w:rPr>
        <w:t xml:space="preserve">Nawet sześciokrotne zwiększenie pojemności magazynu do 1 200 kWh — przy nakładzie rzędu 360 000 $ — zapewnia jedynie 15 godzin autonomii w trybie krytycznym. Osiągnięcie 72 godzin wymagałoby pojemności przekraczającej 5 700 kWh, co czyni takie rozwiązanie ekonomicznie i przestrzennie nierealizowalnym.</w:t>
      </w:r>
    </w:p>
    <w:p>
      <w:pPr>
        <w:pStyle w:val="Heading2"/>
        <w:spacing w:after="180" w:before="240" w:line="360"/>
      </w:pPr>
      <w:r>
        <w:rPr>
          <w:b/>
          <w:bCs/>
          <w:sz w:val="28"/>
          <w:szCs w:val="28"/>
        </w:rPr>
        <w:t xml:space="preserve">2.3. Podsumowanie konfiguracji K2</w:t>
      </w:r>
    </w:p>
    <w:tbl>
      <w:tblPr>
        <w:tblW w:type="dxa" w:w="9073"/>
        <w:tblBorders>
          <w:top w:val="single" w:color="auto" w:sz="4"/>
          <w:left w:val="single" w:color="auto" w:sz="4"/>
          <w:bottom w:val="single" w:color="auto" w:sz="4"/>
          <w:right w:val="single" w:color="auto" w:sz="4"/>
          <w:insideH w:val="single" w:color="auto" w:sz="4"/>
          <w:insideV w:val="single" w:color="auto" w:sz="4"/>
        </w:tblBorders>
      </w:tblPr>
      <w:tblGrid>
        <w:gridCol w:w="3085"/>
        <w:gridCol w:w="2722"/>
        <w:gridCol w:w="3266"/>
      </w:tblGrid>
      <w:tr>
        <w:trPr>
          <w:tblHeader/>
        </w:trPr>
        <w:tc>
          <w:tcPr>
            <w:tcW w:type="dxa" w:w="3085"/>
            <w:shd w:fill="D9E2F3" w:val="clear"/>
            <w:tcMar>
              <w:top w:type="dxa" w:w="60"/>
              <w:left w:type="dxa" w:w="80"/>
              <w:bottom w:type="dxa" w:w="60"/>
              <w:right w:type="dxa" w:w="80"/>
            </w:tcMar>
          </w:tcPr>
          <w:p>
            <w:pPr>
              <w:spacing w:after="0" w:line="240"/>
              <w:jc w:val="left"/>
            </w:pPr>
            <w:r>
              <w:rPr>
                <w:b/>
                <w:bCs/>
                <w:sz w:val="20"/>
                <w:szCs w:val="20"/>
              </w:rPr>
              <w:t xml:space="preserve">Zdarzenie</w:t>
            </w:r>
          </w:p>
        </w:tc>
        <w:tc>
          <w:tcPr>
            <w:tcW w:type="dxa" w:w="2722"/>
            <w:shd w:fill="D9E2F3" w:val="clear"/>
            <w:tcMar>
              <w:top w:type="dxa" w:w="60"/>
              <w:left w:type="dxa" w:w="80"/>
              <w:bottom w:type="dxa" w:w="60"/>
              <w:right w:type="dxa" w:w="80"/>
            </w:tcMar>
          </w:tcPr>
          <w:p>
            <w:pPr>
              <w:spacing w:after="0" w:line="240"/>
              <w:jc w:val="center"/>
            </w:pPr>
            <w:r>
              <w:rPr>
                <w:b/>
                <w:bCs/>
                <w:sz w:val="20"/>
                <w:szCs w:val="20"/>
              </w:rPr>
              <w:t xml:space="preserve">Czas autonomii</w:t>
            </w:r>
          </w:p>
        </w:tc>
        <w:tc>
          <w:tcPr>
            <w:tcW w:type="dxa" w:w="3266"/>
            <w:shd w:fill="D9E2F3" w:val="clear"/>
            <w:tcMar>
              <w:top w:type="dxa" w:w="60"/>
              <w:left w:type="dxa" w:w="80"/>
              <w:bottom w:type="dxa" w:w="60"/>
              <w:right w:type="dxa" w:w="80"/>
            </w:tcMar>
          </w:tcPr>
          <w:p>
            <w:pPr>
              <w:spacing w:after="0" w:line="240"/>
              <w:jc w:val="center"/>
            </w:pPr>
            <w:r>
              <w:rPr>
                <w:b/>
                <w:bCs/>
                <w:sz w:val="20"/>
                <w:szCs w:val="20"/>
              </w:rPr>
              <w:t xml:space="preserve">Ocena</w:t>
            </w:r>
          </w:p>
        </w:tc>
      </w:tr>
      <w:tr>
        <w:trPr>
          <w:tblHeader w:val="false"/>
        </w:trPr>
        <w:tc>
          <w:tcPr>
            <w:tcW w:type="dxa" w:w="3085"/>
            <w:shd w:fill="FCE4E4" w:val="clear"/>
            <w:tcMar>
              <w:top w:type="dxa" w:w="60"/>
              <w:left w:type="dxa" w:w="80"/>
              <w:bottom w:type="dxa" w:w="60"/>
              <w:right w:type="dxa" w:w="80"/>
            </w:tcMar>
          </w:tcPr>
          <w:p>
            <w:pPr>
              <w:spacing w:after="0" w:line="240"/>
              <w:jc w:val="left"/>
            </w:pPr>
            <w:r>
              <w:rPr>
                <w:b/>
                <w:bCs/>
                <w:sz w:val="20"/>
                <w:szCs w:val="20"/>
              </w:rPr>
              <w:t xml:space="preserve">A1 — black-sky 72 h</w:t>
            </w:r>
          </w:p>
        </w:tc>
        <w:tc>
          <w:tcPr>
            <w:tcW w:type="dxa" w:w="2722"/>
            <w:shd w:fill="FCE4E4" w:val="clear"/>
            <w:tcMar>
              <w:top w:type="dxa" w:w="60"/>
              <w:left w:type="dxa" w:w="80"/>
              <w:bottom w:type="dxa" w:w="60"/>
              <w:right w:type="dxa" w:w="80"/>
            </w:tcMar>
          </w:tcPr>
          <w:p>
            <w:pPr>
              <w:spacing w:after="0" w:line="240"/>
              <w:jc w:val="center"/>
            </w:pPr>
            <w:r>
              <w:rPr>
                <w:b w:val="false"/>
                <w:bCs w:val="false"/>
                <w:sz w:val="20"/>
                <w:szCs w:val="20"/>
              </w:rPr>
              <w:t xml:space="preserve">ok. 1 h (ciągła)</w:t>
            </w:r>
          </w:p>
        </w:tc>
        <w:tc>
          <w:tcPr>
            <w:tcW w:type="dxa" w:w="3266"/>
            <w:shd w:fill="FCE4E4" w:val="clear"/>
            <w:tcMar>
              <w:top w:type="dxa" w:w="60"/>
              <w:left w:type="dxa" w:w="80"/>
              <w:bottom w:type="dxa" w:w="60"/>
              <w:right w:type="dxa" w:w="80"/>
            </w:tcMar>
          </w:tcPr>
          <w:p>
            <w:pPr>
              <w:spacing w:after="0" w:line="240"/>
              <w:jc w:val="center"/>
            </w:pPr>
            <w:r>
              <w:rPr>
                <w:b w:val="false"/>
                <w:bCs w:val="false"/>
                <w:sz w:val="20"/>
                <w:szCs w:val="20"/>
              </w:rPr>
              <w:t xml:space="preserve">Niewystarczająca</w:t>
            </w:r>
          </w:p>
        </w:tc>
      </w:tr>
      <w:tr>
        <w:trPr>
          <w:tblHeader w:val="false"/>
        </w:trPr>
        <w:tc>
          <w:tcPr>
            <w:tcW w:type="dxa" w:w="3085"/>
            <w:shd w:fill="FCE4E4" w:val="clear"/>
            <w:tcMar>
              <w:top w:type="dxa" w:w="60"/>
              <w:left w:type="dxa" w:w="80"/>
              <w:bottom w:type="dxa" w:w="60"/>
              <w:right w:type="dxa" w:w="80"/>
            </w:tcMar>
          </w:tcPr>
          <w:p>
            <w:pPr>
              <w:spacing w:after="0" w:line="240"/>
              <w:jc w:val="left"/>
            </w:pPr>
            <w:r>
              <w:rPr>
                <w:b/>
                <w:bCs/>
                <w:sz w:val="20"/>
                <w:szCs w:val="20"/>
              </w:rPr>
              <w:t xml:space="preserve">A1 — tryb krytyczny</w:t>
            </w:r>
          </w:p>
        </w:tc>
        <w:tc>
          <w:tcPr>
            <w:tcW w:type="dxa" w:w="2722"/>
            <w:shd w:fill="FCE4E4" w:val="clear"/>
            <w:tcMar>
              <w:top w:type="dxa" w:w="60"/>
              <w:left w:type="dxa" w:w="80"/>
              <w:bottom w:type="dxa" w:w="60"/>
              <w:right w:type="dxa" w:w="80"/>
            </w:tcMar>
          </w:tcPr>
          <w:p>
            <w:pPr>
              <w:spacing w:after="0" w:line="240"/>
              <w:jc w:val="center"/>
            </w:pPr>
            <w:r>
              <w:rPr>
                <w:b w:val="false"/>
                <w:bCs w:val="false"/>
                <w:sz w:val="20"/>
                <w:szCs w:val="20"/>
              </w:rPr>
              <w:t xml:space="preserve">2,5 h</w:t>
            </w:r>
          </w:p>
        </w:tc>
        <w:tc>
          <w:tcPr>
            <w:tcW w:type="dxa" w:w="3266"/>
            <w:shd w:fill="FCE4E4" w:val="clear"/>
            <w:tcMar>
              <w:top w:type="dxa" w:w="60"/>
              <w:left w:type="dxa" w:w="80"/>
              <w:bottom w:type="dxa" w:w="60"/>
              <w:right w:type="dxa" w:w="80"/>
            </w:tcMar>
          </w:tcPr>
          <w:p>
            <w:pPr>
              <w:spacing w:after="0" w:line="240"/>
              <w:jc w:val="center"/>
            </w:pPr>
            <w:r>
              <w:rPr>
                <w:b w:val="false"/>
                <w:bCs w:val="false"/>
                <w:sz w:val="20"/>
                <w:szCs w:val="20"/>
              </w:rPr>
              <w:t xml:space="preserve">Niewystarczająca</w:t>
            </w:r>
          </w:p>
        </w:tc>
      </w:tr>
      <w:tr>
        <w:trPr>
          <w:tblHeader w:val="false"/>
        </w:trPr>
        <w:tc>
          <w:tcPr>
            <w:tcW w:type="dxa" w:w="3085"/>
            <w:tcMar>
              <w:top w:type="dxa" w:w="60"/>
              <w:left w:type="dxa" w:w="80"/>
              <w:bottom w:type="dxa" w:w="60"/>
              <w:right w:type="dxa" w:w="80"/>
            </w:tcMar>
          </w:tcPr>
          <w:p>
            <w:pPr>
              <w:spacing w:after="0" w:line="240"/>
              <w:jc w:val="left"/>
            </w:pPr>
            <w:r>
              <w:rPr>
                <w:b w:val="false"/>
                <w:bCs w:val="false"/>
                <w:sz w:val="20"/>
                <w:szCs w:val="20"/>
              </w:rPr>
              <w:t xml:space="preserve">A2 — przerwy 2–7 h</w:t>
            </w:r>
          </w:p>
        </w:tc>
        <w:tc>
          <w:tcPr>
            <w:tcW w:type="dxa" w:w="2722"/>
            <w:tcMar>
              <w:top w:type="dxa" w:w="60"/>
              <w:left w:type="dxa" w:w="80"/>
              <w:bottom w:type="dxa" w:w="60"/>
              <w:right w:type="dxa" w:w="80"/>
            </w:tcMar>
          </w:tcPr>
          <w:p>
            <w:pPr>
              <w:spacing w:after="0" w:line="240"/>
              <w:jc w:val="center"/>
            </w:pPr>
            <w:r>
              <w:rPr>
                <w:b w:val="false"/>
                <w:bCs w:val="false"/>
                <w:sz w:val="20"/>
                <w:szCs w:val="20"/>
              </w:rPr>
              <w:t xml:space="preserve">1–2,5 h</w:t>
            </w:r>
          </w:p>
        </w:tc>
        <w:tc>
          <w:tcPr>
            <w:tcW w:type="dxa" w:w="3266"/>
            <w:tcMar>
              <w:top w:type="dxa" w:w="60"/>
              <w:left w:type="dxa" w:w="80"/>
              <w:bottom w:type="dxa" w:w="60"/>
              <w:right w:type="dxa" w:w="80"/>
            </w:tcMar>
          </w:tcPr>
          <w:p>
            <w:pPr>
              <w:spacing w:after="0" w:line="240"/>
              <w:jc w:val="center"/>
            </w:pPr>
            <w:r>
              <w:rPr>
                <w:b w:val="false"/>
                <w:bCs w:val="false"/>
                <w:sz w:val="20"/>
                <w:szCs w:val="20"/>
              </w:rPr>
              <w:t xml:space="preserve">Częściowe pokrycie</w:t>
            </w:r>
          </w:p>
        </w:tc>
      </w:tr>
    </w:tbl>
    <w:p>
      <w:pPr>
        <w:spacing w:after="200" w:before="80" w:line="240"/>
        <w:jc w:val="center"/>
      </w:pPr>
      <w:r>
        <w:rPr>
          <w:i/>
          <w:iCs/>
          <w:sz w:val="20"/>
          <w:szCs w:val="20"/>
        </w:rPr>
        <w:t xml:space="preserve">Tabela 10. Zestawienie czasów autonomii konfiguracji K2</w:t>
      </w:r>
    </w:p>
    <w:p>
      <w:pPr>
        <w:spacing w:after="120" w:before="0" w:line="360"/>
        <w:ind w:firstLine="566"/>
        <w:jc w:val="both"/>
      </w:pPr>
      <w:r>
        <w:rPr>
          <w:sz w:val="24"/>
          <w:szCs w:val="24"/>
        </w:rPr>
        <w:t xml:space="preserve">Wniosek zasadniczy: magazyn bateryjny w skali możliwej do zastosowania w obiekcie tej wielkości nie stanowi źródła autonomii długoterminowej. Jego rolą jest zapewnienie ciągłości zasilania w klasie 0,5 s — bezprzerwowe podtrzymanie odbiorów krytycznych do czasu uruchomienia źródła sterowalnego, co następuje w ciągu 15 sekund. Do tego zadania pojemność 200 kWh jest wystarczająca z dużym zapasem.</w:t>
      </w:r>
    </w:p>
    <w:p>
      <w:r>
        <w:br w:type="page"/>
      </w:r>
    </w:p>
    <w:p>
      <w:pPr>
        <w:pStyle w:val="Heading1"/>
        <w:spacing w:after="240" w:before="240" w:line="360"/>
      </w:pPr>
      <w:r>
        <w:rPr>
          <w:b/>
          <w:bCs/>
          <w:sz w:val="28"/>
          <w:szCs w:val="28"/>
        </w:rPr>
        <w:t xml:space="preserve">3. Konfiguracja K3 — zaawansowana mikrosieć</w:t>
      </w:r>
    </w:p>
    <w:p>
      <w:pPr>
        <w:spacing w:after="120" w:before="0" w:line="360"/>
        <w:ind w:firstLine="566"/>
        <w:jc w:val="both"/>
      </w:pPr>
      <w:r>
        <w:rPr>
          <w:sz w:val="24"/>
          <w:szCs w:val="24"/>
        </w:rPr>
        <w:t xml:space="preserve">Architektura: sieć + instalacja PV 250 kW + magazyn BESS + jednostka kogeneracyjna gazowa 2G Aura 404 o mocy elektrycznej 100 kW + kocioł szczytowy.</w:t>
      </w:r>
    </w:p>
    <w:p>
      <w:pPr>
        <w:pStyle w:val="Heading2"/>
        <w:spacing w:after="180" w:before="240" w:line="360"/>
      </w:pPr>
      <w:r>
        <w:rPr>
          <w:b/>
          <w:bCs/>
          <w:sz w:val="28"/>
          <w:szCs w:val="28"/>
        </w:rPr>
        <w:t xml:space="preserve">3.1. Pokrycie obciążenia przez jednostkę kogeneracyjną</w:t>
      </w:r>
    </w:p>
    <w:tbl>
      <w:tblPr>
        <w:tblW w:type="dxa" w:w="9073"/>
        <w:tblBorders>
          <w:top w:val="single" w:color="auto" w:sz="4"/>
          <w:left w:val="single" w:color="auto" w:sz="4"/>
          <w:bottom w:val="single" w:color="auto" w:sz="4"/>
          <w:right w:val="single" w:color="auto" w:sz="4"/>
          <w:insideH w:val="single" w:color="auto" w:sz="4"/>
          <w:insideV w:val="single" w:color="auto" w:sz="4"/>
        </w:tblBorders>
      </w:tblPr>
      <w:tblGrid>
        <w:gridCol w:w="5625"/>
        <w:gridCol w:w="3448"/>
      </w:tblGrid>
      <w:tr>
        <w:trPr>
          <w:tblHeader/>
        </w:trPr>
        <w:tc>
          <w:tcPr>
            <w:tcW w:type="dxa" w:w="5625"/>
            <w:shd w:fill="D9E2F3" w:val="clear"/>
            <w:tcMar>
              <w:top w:type="dxa" w:w="60"/>
              <w:left w:type="dxa" w:w="80"/>
              <w:bottom w:type="dxa" w:w="60"/>
              <w:right w:type="dxa" w:w="80"/>
            </w:tcMar>
          </w:tcPr>
          <w:p>
            <w:pPr>
              <w:spacing w:after="0" w:line="240"/>
              <w:jc w:val="left"/>
            </w:pPr>
            <w:r>
              <w:rPr>
                <w:b/>
                <w:bCs/>
                <w:sz w:val="20"/>
                <w:szCs w:val="20"/>
              </w:rPr>
              <w:t xml:space="preserve">Wielkość</w:t>
            </w:r>
          </w:p>
        </w:tc>
        <w:tc>
          <w:tcPr>
            <w:tcW w:type="dxa" w:w="3448"/>
            <w:shd w:fill="D9E2F3" w:val="clear"/>
            <w:tcMar>
              <w:top w:type="dxa" w:w="60"/>
              <w:left w:type="dxa" w:w="80"/>
              <w:bottom w:type="dxa" w:w="60"/>
              <w:right w:type="dxa" w:w="80"/>
            </w:tcMar>
          </w:tcPr>
          <w:p>
            <w:pPr>
              <w:spacing w:after="0" w:line="240"/>
              <w:jc w:val="center"/>
            </w:pPr>
            <w:r>
              <w:rPr>
                <w:b/>
                <w:bCs/>
                <w:sz w:val="20"/>
                <w:szCs w:val="20"/>
              </w:rPr>
              <w:t xml:space="preserve">Wartość</w:t>
            </w:r>
          </w:p>
        </w:tc>
      </w:tr>
      <w:tr>
        <w:trPr>
          <w:tblHeader w:val="false"/>
        </w:trPr>
        <w:tc>
          <w:tcPr>
            <w:tcW w:type="dxa" w:w="5625"/>
            <w:tcMar>
              <w:top w:type="dxa" w:w="60"/>
              <w:left w:type="dxa" w:w="80"/>
              <w:bottom w:type="dxa" w:w="60"/>
              <w:right w:type="dxa" w:w="80"/>
            </w:tcMar>
          </w:tcPr>
          <w:p>
            <w:pPr>
              <w:spacing w:after="0" w:line="240"/>
              <w:jc w:val="left"/>
            </w:pPr>
            <w:r>
              <w:rPr>
                <w:sz w:val="20"/>
                <w:szCs w:val="20"/>
              </w:rPr>
              <w:t xml:space="preserve">Moc elektryczna CHP</w:t>
            </w:r>
          </w:p>
        </w:tc>
        <w:tc>
          <w:tcPr>
            <w:tcW w:type="dxa" w:w="3448"/>
            <w:tcMar>
              <w:top w:type="dxa" w:w="60"/>
              <w:left w:type="dxa" w:w="80"/>
              <w:bottom w:type="dxa" w:w="60"/>
              <w:right w:type="dxa" w:w="80"/>
            </w:tcMar>
          </w:tcPr>
          <w:p>
            <w:pPr>
              <w:spacing w:after="0" w:line="240"/>
              <w:jc w:val="center"/>
            </w:pPr>
            <w:r>
              <w:rPr>
                <w:sz w:val="20"/>
                <w:szCs w:val="20"/>
              </w:rPr>
              <w:t xml:space="preserve">100 kW</w:t>
            </w:r>
          </w:p>
        </w:tc>
      </w:tr>
      <w:tr>
        <w:trPr>
          <w:tblHeader w:val="false"/>
        </w:trPr>
        <w:tc>
          <w:tcPr>
            <w:tcW w:type="dxa" w:w="5625"/>
            <w:tcMar>
              <w:top w:type="dxa" w:w="60"/>
              <w:left w:type="dxa" w:w="80"/>
              <w:bottom w:type="dxa" w:w="60"/>
              <w:right w:type="dxa" w:w="80"/>
            </w:tcMar>
          </w:tcPr>
          <w:p>
            <w:pPr>
              <w:spacing w:after="0" w:line="240"/>
              <w:jc w:val="left"/>
            </w:pPr>
            <w:r>
              <w:rPr>
                <w:sz w:val="20"/>
                <w:szCs w:val="20"/>
              </w:rPr>
              <w:t xml:space="preserve">Obciążenie średnie w styczniu</w:t>
            </w:r>
          </w:p>
        </w:tc>
        <w:tc>
          <w:tcPr>
            <w:tcW w:type="dxa" w:w="3448"/>
            <w:tcMar>
              <w:top w:type="dxa" w:w="60"/>
              <w:left w:type="dxa" w:w="80"/>
              <w:bottom w:type="dxa" w:w="60"/>
              <w:right w:type="dxa" w:w="80"/>
            </w:tcMar>
          </w:tcPr>
          <w:p>
            <w:pPr>
              <w:spacing w:after="0" w:line="240"/>
              <w:jc w:val="center"/>
            </w:pPr>
            <w:r>
              <w:rPr>
                <w:sz w:val="20"/>
                <w:szCs w:val="20"/>
              </w:rPr>
              <w:t xml:space="preserve">121,7 kW</w:t>
            </w:r>
          </w:p>
        </w:tc>
      </w:tr>
      <w:tr>
        <w:trPr>
          <w:tblHeader w:val="false"/>
        </w:trPr>
        <w:tc>
          <w:tcPr>
            <w:tcW w:type="dxa" w:w="5625"/>
            <w:tcMar>
              <w:top w:type="dxa" w:w="60"/>
              <w:left w:type="dxa" w:w="80"/>
              <w:bottom w:type="dxa" w:w="60"/>
              <w:right w:type="dxa" w:w="80"/>
            </w:tcMar>
          </w:tcPr>
          <w:p>
            <w:pPr>
              <w:spacing w:after="0" w:line="240"/>
              <w:jc w:val="left"/>
            </w:pPr>
            <w:r>
              <w:rPr>
                <w:sz w:val="20"/>
                <w:szCs w:val="20"/>
              </w:rPr>
              <w:t xml:space="preserve">Obciążenie minimalne (noc)</w:t>
            </w:r>
          </w:p>
        </w:tc>
        <w:tc>
          <w:tcPr>
            <w:tcW w:type="dxa" w:w="3448"/>
            <w:tcMar>
              <w:top w:type="dxa" w:w="60"/>
              <w:left w:type="dxa" w:w="80"/>
              <w:bottom w:type="dxa" w:w="60"/>
              <w:right w:type="dxa" w:w="80"/>
            </w:tcMar>
          </w:tcPr>
          <w:p>
            <w:pPr>
              <w:spacing w:after="0" w:line="240"/>
              <w:jc w:val="center"/>
            </w:pPr>
            <w:r>
              <w:rPr>
                <w:sz w:val="20"/>
                <w:szCs w:val="20"/>
              </w:rPr>
              <w:t xml:space="preserve">88,1 kW</w:t>
            </w:r>
          </w:p>
        </w:tc>
      </w:tr>
      <w:tr>
        <w:trPr>
          <w:tblHeader w:val="false"/>
        </w:trPr>
        <w:tc>
          <w:tcPr>
            <w:tcW w:type="dxa" w:w="5625"/>
            <w:tcMar>
              <w:top w:type="dxa" w:w="60"/>
              <w:left w:type="dxa" w:w="80"/>
              <w:bottom w:type="dxa" w:w="60"/>
              <w:right w:type="dxa" w:w="80"/>
            </w:tcMar>
          </w:tcPr>
          <w:p>
            <w:pPr>
              <w:spacing w:after="0" w:line="240"/>
              <w:jc w:val="left"/>
            </w:pPr>
            <w:r>
              <w:rPr>
                <w:sz w:val="20"/>
                <w:szCs w:val="20"/>
              </w:rPr>
              <w:t xml:space="preserve">Obciążenie szczytowe</w:t>
            </w:r>
          </w:p>
        </w:tc>
        <w:tc>
          <w:tcPr>
            <w:tcW w:type="dxa" w:w="3448"/>
            <w:tcMar>
              <w:top w:type="dxa" w:w="60"/>
              <w:left w:type="dxa" w:w="80"/>
              <w:bottom w:type="dxa" w:w="60"/>
              <w:right w:type="dxa" w:w="80"/>
            </w:tcMar>
          </w:tcPr>
          <w:p>
            <w:pPr>
              <w:spacing w:after="0" w:line="240"/>
              <w:jc w:val="center"/>
            </w:pPr>
            <w:r>
              <w:rPr>
                <w:sz w:val="20"/>
                <w:szCs w:val="20"/>
              </w:rPr>
              <w:t xml:space="preserve">155,3 kW</w:t>
            </w:r>
          </w:p>
        </w:tc>
      </w:tr>
      <w:tr>
        <w:trPr>
          <w:tblHeader w:val="false"/>
        </w:trPr>
        <w:tc>
          <w:tcPr>
            <w:tcW w:type="dxa" w:w="5625"/>
            <w:tcMar>
              <w:top w:type="dxa" w:w="60"/>
              <w:left w:type="dxa" w:w="80"/>
              <w:bottom w:type="dxa" w:w="60"/>
              <w:right w:type="dxa" w:w="80"/>
            </w:tcMar>
          </w:tcPr>
          <w:p>
            <w:pPr>
              <w:spacing w:after="0" w:line="240"/>
              <w:jc w:val="left"/>
            </w:pPr>
            <w:r>
              <w:rPr>
                <w:sz w:val="20"/>
                <w:szCs w:val="20"/>
              </w:rPr>
              <w:t xml:space="preserve">Godzin, w których CHP pokrywa całość (≤100 kW)</w:t>
            </w:r>
          </w:p>
        </w:tc>
        <w:tc>
          <w:tcPr>
            <w:tcW w:type="dxa" w:w="3448"/>
            <w:tcMar>
              <w:top w:type="dxa" w:w="60"/>
              <w:left w:type="dxa" w:w="80"/>
              <w:bottom w:type="dxa" w:w="60"/>
              <w:right w:type="dxa" w:w="80"/>
            </w:tcMar>
          </w:tcPr>
          <w:p>
            <w:pPr>
              <w:spacing w:after="0" w:line="240"/>
              <w:jc w:val="center"/>
            </w:pPr>
            <w:r>
              <w:rPr>
                <w:sz w:val="20"/>
                <w:szCs w:val="20"/>
              </w:rPr>
              <w:t xml:space="preserve">17 h z 72</w:t>
            </w:r>
          </w:p>
        </w:tc>
      </w:tr>
      <w:tr>
        <w:trPr>
          <w:tblHeader w:val="false"/>
        </w:trPr>
        <w:tc>
          <w:tcPr>
            <w:tcW w:type="dxa" w:w="5625"/>
            <w:tcMar>
              <w:top w:type="dxa" w:w="60"/>
              <w:left w:type="dxa" w:w="80"/>
              <w:bottom w:type="dxa" w:w="60"/>
              <w:right w:type="dxa" w:w="80"/>
            </w:tcMar>
          </w:tcPr>
          <w:p>
            <w:pPr>
              <w:spacing w:after="0" w:line="240"/>
              <w:jc w:val="left"/>
            </w:pPr>
            <w:r>
              <w:rPr>
                <w:sz w:val="20"/>
                <w:szCs w:val="20"/>
              </w:rPr>
              <w:t xml:space="preserve">Godzin z deficytem mocy (&gt;100 kW)</w:t>
            </w:r>
          </w:p>
        </w:tc>
        <w:tc>
          <w:tcPr>
            <w:tcW w:type="dxa" w:w="3448"/>
            <w:tcMar>
              <w:top w:type="dxa" w:w="60"/>
              <w:left w:type="dxa" w:w="80"/>
              <w:bottom w:type="dxa" w:w="60"/>
              <w:right w:type="dxa" w:w="80"/>
            </w:tcMar>
          </w:tcPr>
          <w:p>
            <w:pPr>
              <w:spacing w:after="0" w:line="240"/>
              <w:jc w:val="center"/>
            </w:pPr>
            <w:r>
              <w:rPr>
                <w:sz w:val="20"/>
                <w:szCs w:val="20"/>
              </w:rPr>
              <w:t xml:space="preserve">55 h z 72</w:t>
            </w:r>
          </w:p>
        </w:tc>
      </w:tr>
      <w:tr>
        <w:trPr>
          <w:tblHeader w:val="false"/>
        </w:trPr>
        <w:tc>
          <w:tcPr>
            <w:tcW w:type="dxa" w:w="5625"/>
            <w:tcMar>
              <w:top w:type="dxa" w:w="60"/>
              <w:left w:type="dxa" w:w="80"/>
              <w:bottom w:type="dxa" w:w="60"/>
              <w:right w:type="dxa" w:w="80"/>
            </w:tcMar>
          </w:tcPr>
          <w:p>
            <w:pPr>
              <w:spacing w:after="0" w:line="240"/>
              <w:jc w:val="left"/>
            </w:pPr>
            <w:r>
              <w:rPr>
                <w:sz w:val="20"/>
                <w:szCs w:val="20"/>
              </w:rPr>
              <w:t xml:space="preserve">Energia pokryta łącznie (CHP + PV)</w:t>
            </w:r>
          </w:p>
        </w:tc>
        <w:tc>
          <w:tcPr>
            <w:tcW w:type="dxa" w:w="3448"/>
            <w:tcMar>
              <w:top w:type="dxa" w:w="60"/>
              <w:left w:type="dxa" w:w="80"/>
              <w:bottom w:type="dxa" w:w="60"/>
              <w:right w:type="dxa" w:w="80"/>
            </w:tcMar>
          </w:tcPr>
          <w:p>
            <w:pPr>
              <w:spacing w:after="0" w:line="240"/>
              <w:jc w:val="center"/>
            </w:pPr>
            <w:r>
              <w:rPr>
                <w:sz w:val="20"/>
                <w:szCs w:val="20"/>
              </w:rPr>
              <w:t xml:space="preserve">7 716 kWh z 8 762 kWh</w:t>
            </w:r>
          </w:p>
        </w:tc>
      </w:tr>
      <w:tr>
        <w:trPr>
          <w:tblHeader w:val="false"/>
        </w:trPr>
        <w:tc>
          <w:tcPr>
            <w:tcW w:type="dxa" w:w="5625"/>
            <w:shd w:fill="FFF2CC" w:val="clear"/>
            <w:tcMar>
              <w:top w:type="dxa" w:w="60"/>
              <w:left w:type="dxa" w:w="80"/>
              <w:bottom w:type="dxa" w:w="60"/>
              <w:right w:type="dxa" w:w="80"/>
            </w:tcMar>
          </w:tcPr>
          <w:p>
            <w:pPr>
              <w:spacing w:after="0" w:line="240"/>
              <w:jc w:val="left"/>
            </w:pPr>
            <w:r>
              <w:rPr>
                <w:b/>
                <w:bCs/>
                <w:sz w:val="20"/>
                <w:szCs w:val="20"/>
              </w:rPr>
              <w:t xml:space="preserve">POKRYCIE OBCIĄŻENIA</w:t>
            </w:r>
          </w:p>
        </w:tc>
        <w:tc>
          <w:tcPr>
            <w:tcW w:type="dxa" w:w="3448"/>
            <w:shd w:fill="FFF2CC" w:val="clear"/>
            <w:tcMar>
              <w:top w:type="dxa" w:w="60"/>
              <w:left w:type="dxa" w:w="80"/>
              <w:bottom w:type="dxa" w:w="60"/>
              <w:right w:type="dxa" w:w="80"/>
            </w:tcMar>
          </w:tcPr>
          <w:p>
            <w:pPr>
              <w:spacing w:after="0" w:line="240"/>
              <w:jc w:val="center"/>
            </w:pPr>
            <w:r>
              <w:rPr>
                <w:sz w:val="20"/>
                <w:szCs w:val="20"/>
              </w:rPr>
              <w:t xml:space="preserve">88,1%</w:t>
            </w:r>
          </w:p>
        </w:tc>
      </w:tr>
    </w:tbl>
    <w:p>
      <w:pPr>
        <w:spacing w:after="200" w:before="80" w:line="240"/>
        <w:jc w:val="center"/>
      </w:pPr>
      <w:r>
        <w:rPr>
          <w:i/>
          <w:iCs/>
          <w:sz w:val="20"/>
          <w:szCs w:val="20"/>
        </w:rPr>
        <w:t xml:space="preserve">Tabela 11. Bilans konfiguracji K3 podczas awarii 72-godzinnej</w:t>
      </w:r>
    </w:p>
    <w:p>
      <w:pPr>
        <w:pStyle w:val="Heading2"/>
        <w:spacing w:after="180" w:before="240" w:line="360"/>
      </w:pPr>
      <w:r>
        <w:rPr>
          <w:b/>
          <w:bCs/>
          <w:sz w:val="28"/>
          <w:szCs w:val="28"/>
        </w:rPr>
        <w:t xml:space="preserve">3.2. Czas autonomii</w:t>
      </w:r>
    </w:p>
    <w:p>
      <w:pPr>
        <w:spacing w:after="120" w:before="0" w:line="360"/>
        <w:ind w:firstLine="566"/>
        <w:jc w:val="both"/>
      </w:pPr>
      <w:r>
        <w:rPr>
          <w:sz w:val="24"/>
          <w:szCs w:val="24"/>
        </w:rPr>
        <w:t xml:space="preserve">W odróżnieniu od konfiguracji K1 i K2, czas pracy jednostki kogeneracyjnej nie jest ograniczony zasobem zgromadzonym na terenie obiektu. Paliwo dostarczane jest siecią gazową w sposób ciągły.</w:t>
      </w:r>
    </w:p>
    <w:tbl>
      <w:tblPr>
        <w:tblW w:type="dxa" w:w="9073"/>
        <w:tblBorders>
          <w:top w:val="single" w:color="auto" w:sz="4"/>
          <w:left w:val="single" w:color="auto" w:sz="4"/>
          <w:bottom w:val="single" w:color="auto" w:sz="4"/>
          <w:right w:val="single" w:color="auto" w:sz="4"/>
          <w:insideH w:val="single" w:color="auto" w:sz="4"/>
          <w:insideV w:val="single" w:color="auto" w:sz="4"/>
        </w:tblBorders>
      </w:tblPr>
      <w:tblGrid>
        <w:gridCol w:w="3629"/>
        <w:gridCol w:w="2540"/>
        <w:gridCol w:w="2903"/>
      </w:tblGrid>
      <w:tr>
        <w:trPr>
          <w:tblHeader/>
        </w:trPr>
        <w:tc>
          <w:tcPr>
            <w:tcW w:type="dxa" w:w="3629"/>
            <w:shd w:fill="D9E2F3" w:val="clear"/>
            <w:tcMar>
              <w:top w:type="dxa" w:w="60"/>
              <w:left w:type="dxa" w:w="80"/>
              <w:bottom w:type="dxa" w:w="60"/>
              <w:right w:type="dxa" w:w="80"/>
            </w:tcMar>
          </w:tcPr>
          <w:p>
            <w:pPr>
              <w:spacing w:after="0" w:line="240"/>
              <w:jc w:val="left"/>
            </w:pPr>
            <w:r>
              <w:rPr>
                <w:b/>
                <w:bCs/>
                <w:sz w:val="20"/>
                <w:szCs w:val="20"/>
              </w:rPr>
              <w:t xml:space="preserve">Wielkość</w:t>
            </w:r>
          </w:p>
        </w:tc>
        <w:tc>
          <w:tcPr>
            <w:tcW w:type="dxa" w:w="2540"/>
            <w:shd w:fill="D9E2F3" w:val="clear"/>
            <w:tcMar>
              <w:top w:type="dxa" w:w="60"/>
              <w:left w:type="dxa" w:w="80"/>
              <w:bottom w:type="dxa" w:w="60"/>
              <w:right w:type="dxa" w:w="80"/>
            </w:tcMar>
          </w:tcPr>
          <w:p>
            <w:pPr>
              <w:spacing w:after="0" w:line="240"/>
              <w:jc w:val="center"/>
            </w:pPr>
            <w:r>
              <w:rPr>
                <w:b/>
                <w:bCs/>
                <w:sz w:val="20"/>
                <w:szCs w:val="20"/>
              </w:rPr>
              <w:t xml:space="preserve">Wartość</w:t>
            </w:r>
          </w:p>
        </w:tc>
        <w:tc>
          <w:tcPr>
            <w:tcW w:type="dxa" w:w="2903"/>
            <w:shd w:fill="D9E2F3" w:val="clear"/>
            <w:tcMar>
              <w:top w:type="dxa" w:w="60"/>
              <w:left w:type="dxa" w:w="80"/>
              <w:bottom w:type="dxa" w:w="60"/>
              <w:right w:type="dxa" w:w="80"/>
            </w:tcMar>
          </w:tcPr>
          <w:p>
            <w:pPr>
              <w:spacing w:after="0" w:line="240"/>
              <w:jc w:val="center"/>
            </w:pPr>
            <w:r>
              <w:rPr>
                <w:b/>
                <w:bCs/>
                <w:sz w:val="20"/>
                <w:szCs w:val="20"/>
              </w:rPr>
              <w:t xml:space="preserve">Ograniczenie</w:t>
            </w:r>
          </w:p>
        </w:tc>
      </w:tr>
      <w:tr>
        <w:trPr>
          <w:tblHeader w:val="false"/>
        </w:trPr>
        <w:tc>
          <w:tcPr>
            <w:tcW w:type="dxa" w:w="3629"/>
            <w:shd w:fill="FFF2CC" w:val="clear"/>
            <w:tcMar>
              <w:top w:type="dxa" w:w="60"/>
              <w:left w:type="dxa" w:w="80"/>
              <w:bottom w:type="dxa" w:w="60"/>
              <w:right w:type="dxa" w:w="80"/>
            </w:tcMar>
          </w:tcPr>
          <w:p>
            <w:pPr>
              <w:spacing w:after="0" w:line="240"/>
              <w:jc w:val="left"/>
            </w:pPr>
            <w:r>
              <w:rPr>
                <w:b/>
                <w:bCs/>
                <w:sz w:val="20"/>
                <w:szCs w:val="20"/>
              </w:rPr>
              <w:t xml:space="preserve">CZAS AUTONOMII (pełne obciążenie)</w:t>
            </w:r>
          </w:p>
        </w:tc>
        <w:tc>
          <w:tcPr>
            <w:tcW w:type="dxa" w:w="2540"/>
            <w:shd w:fill="FFF2CC" w:val="clear"/>
            <w:tcMar>
              <w:top w:type="dxa" w:w="60"/>
              <w:left w:type="dxa" w:w="80"/>
              <w:bottom w:type="dxa" w:w="60"/>
              <w:right w:type="dxa" w:w="80"/>
            </w:tcMar>
          </w:tcPr>
          <w:p>
            <w:pPr>
              <w:spacing w:after="0" w:line="240"/>
              <w:jc w:val="center"/>
            </w:pPr>
            <w:r>
              <w:rPr>
                <w:sz w:val="20"/>
                <w:szCs w:val="20"/>
              </w:rPr>
              <w:t xml:space="preserve">72 h i więcej</w:t>
            </w:r>
          </w:p>
        </w:tc>
        <w:tc>
          <w:tcPr>
            <w:tcW w:type="dxa" w:w="2903"/>
            <w:shd w:fill="FFF2CC" w:val="clear"/>
            <w:tcMar>
              <w:top w:type="dxa" w:w="60"/>
              <w:left w:type="dxa" w:w="80"/>
              <w:bottom w:type="dxa" w:w="60"/>
              <w:right w:type="dxa" w:w="80"/>
            </w:tcMar>
          </w:tcPr>
          <w:p>
            <w:pPr>
              <w:spacing w:after="0" w:line="240"/>
              <w:jc w:val="center"/>
            </w:pPr>
            <w:r>
              <w:rPr>
                <w:sz w:val="20"/>
                <w:szCs w:val="20"/>
              </w:rPr>
              <w:t xml:space="preserve">Brak — praca ciągła</w:t>
            </w:r>
          </w:p>
        </w:tc>
      </w:tr>
      <w:tr>
        <w:trPr>
          <w:tblHeader w:val="false"/>
        </w:trPr>
        <w:tc>
          <w:tcPr>
            <w:tcW w:type="dxa" w:w="3629"/>
            <w:tcMar>
              <w:top w:type="dxa" w:w="60"/>
              <w:left w:type="dxa" w:w="80"/>
              <w:bottom w:type="dxa" w:w="60"/>
              <w:right w:type="dxa" w:w="80"/>
            </w:tcMar>
          </w:tcPr>
          <w:p>
            <w:pPr>
              <w:spacing w:after="0" w:line="240"/>
              <w:jc w:val="left"/>
            </w:pPr>
            <w:r>
              <w:rPr>
                <w:sz w:val="20"/>
                <w:szCs w:val="20"/>
              </w:rPr>
              <w:t xml:space="preserve">Pokrycie obciążenia</w:t>
            </w:r>
          </w:p>
        </w:tc>
        <w:tc>
          <w:tcPr>
            <w:tcW w:type="dxa" w:w="2540"/>
            <w:tcMar>
              <w:top w:type="dxa" w:w="60"/>
              <w:left w:type="dxa" w:w="80"/>
              <w:bottom w:type="dxa" w:w="60"/>
              <w:right w:type="dxa" w:w="80"/>
            </w:tcMar>
          </w:tcPr>
          <w:p>
            <w:pPr>
              <w:spacing w:after="0" w:line="240"/>
              <w:jc w:val="center"/>
            </w:pPr>
            <w:r>
              <w:rPr>
                <w:sz w:val="20"/>
                <w:szCs w:val="20"/>
              </w:rPr>
              <w:t xml:space="preserve">88,1%</w:t>
            </w:r>
          </w:p>
        </w:tc>
        <w:tc>
          <w:tcPr>
            <w:tcW w:type="dxa" w:w="2903"/>
            <w:tcMar>
              <w:top w:type="dxa" w:w="60"/>
              <w:left w:type="dxa" w:w="80"/>
              <w:bottom w:type="dxa" w:w="60"/>
              <w:right w:type="dxa" w:w="80"/>
            </w:tcMar>
          </w:tcPr>
          <w:p>
            <w:pPr>
              <w:spacing w:after="0" w:line="240"/>
              <w:jc w:val="center"/>
            </w:pPr>
            <w:r>
              <w:rPr>
                <w:sz w:val="20"/>
                <w:szCs w:val="20"/>
              </w:rPr>
              <w:t xml:space="preserve">Deficyt w godzinach szczytu</w:t>
            </w:r>
          </w:p>
        </w:tc>
      </w:tr>
      <w:tr>
        <w:trPr>
          <w:tblHeader w:val="false"/>
        </w:trPr>
        <w:tc>
          <w:tcPr>
            <w:tcW w:type="dxa" w:w="3629"/>
            <w:shd w:fill="FFF2CC" w:val="clear"/>
            <w:tcMar>
              <w:top w:type="dxa" w:w="60"/>
              <w:left w:type="dxa" w:w="80"/>
              <w:bottom w:type="dxa" w:w="60"/>
              <w:right w:type="dxa" w:w="80"/>
            </w:tcMar>
          </w:tcPr>
          <w:p>
            <w:pPr>
              <w:spacing w:after="0" w:line="240"/>
              <w:jc w:val="left"/>
            </w:pPr>
            <w:r>
              <w:rPr>
                <w:b/>
                <w:bCs/>
                <w:sz w:val="20"/>
                <w:szCs w:val="20"/>
              </w:rPr>
              <w:t xml:space="preserve">CZAS AUTONOMII (odbiory krytyczne)</w:t>
            </w:r>
          </w:p>
        </w:tc>
        <w:tc>
          <w:tcPr>
            <w:tcW w:type="dxa" w:w="2540"/>
            <w:shd w:fill="FFF2CC" w:val="clear"/>
            <w:tcMar>
              <w:top w:type="dxa" w:w="60"/>
              <w:left w:type="dxa" w:w="80"/>
              <w:bottom w:type="dxa" w:w="60"/>
              <w:right w:type="dxa" w:w="80"/>
            </w:tcMar>
          </w:tcPr>
          <w:p>
            <w:pPr>
              <w:spacing w:after="0" w:line="240"/>
              <w:jc w:val="center"/>
            </w:pPr>
            <w:r>
              <w:rPr>
                <w:sz w:val="20"/>
                <w:szCs w:val="20"/>
              </w:rPr>
              <w:t xml:space="preserve">nieograniczony</w:t>
            </w:r>
          </w:p>
        </w:tc>
        <w:tc>
          <w:tcPr>
            <w:tcW w:type="dxa" w:w="2903"/>
            <w:shd w:fill="FFF2CC" w:val="clear"/>
            <w:tcMar>
              <w:top w:type="dxa" w:w="60"/>
              <w:left w:type="dxa" w:w="80"/>
              <w:bottom w:type="dxa" w:w="60"/>
              <w:right w:type="dxa" w:w="80"/>
            </w:tcMar>
          </w:tcPr>
          <w:p>
            <w:pPr>
              <w:spacing w:after="0" w:line="240"/>
              <w:jc w:val="center"/>
            </w:pPr>
            <w:r>
              <w:rPr>
                <w:sz w:val="20"/>
                <w:szCs w:val="20"/>
              </w:rPr>
              <w:t xml:space="preserve">Moc CHP 2,1× większa od potrzeb</w:t>
            </w:r>
          </w:p>
        </w:tc>
      </w:tr>
    </w:tbl>
    <w:p>
      <w:pPr>
        <w:spacing w:after="200" w:before="80" w:line="240"/>
        <w:jc w:val="center"/>
      </w:pPr>
      <w:r>
        <w:rPr>
          <w:i/>
          <w:iCs/>
          <w:sz w:val="20"/>
          <w:szCs w:val="20"/>
        </w:rPr>
        <w:t xml:space="preserve">Tabela 12. Czas autonomii konfiguracji K3</w:t>
      </w:r>
    </w:p>
    <w:p>
      <w:pPr>
        <w:spacing w:after="120" w:before="0" w:line="360"/>
        <w:ind w:firstLine="566"/>
        <w:jc w:val="both"/>
      </w:pPr>
      <w:r>
        <w:rPr>
          <w:sz w:val="24"/>
          <w:szCs w:val="24"/>
        </w:rPr>
        <w:t xml:space="preserve">Jednostka o mocy 100 kW przewyższa 2,1-krotnie zapotrzebowanie odbiorów krytycznych wynoszące 47,9 kW. W trybie awaryjnym z odrzuceniem obciążeń nieistotnych szpital funkcjonuje bez ograniczenia czasowego, dopóki utrzymana jest ciągłość dostaw gazu.</w:t>
      </w:r>
    </w:p>
    <w:p>
      <w:pPr>
        <w:spacing w:after="120" w:before="0" w:line="360"/>
        <w:ind w:firstLine="566"/>
        <w:jc w:val="both"/>
      </w:pPr>
      <w:r>
        <w:rPr>
          <w:sz w:val="24"/>
          <w:szCs w:val="24"/>
        </w:rPr>
        <w:t xml:space="preserve">Pozostały deficyt 1 046 kWh występuje w 55 godzinach, w których obciążenie przekracza moc jednostki. Uzupełnienie układu o magazyn energii o pojemności 300–400 kWh, pracujący jako bufor szczytowy, pozwoliłoby na całkowite wyeliminowanie tego deficytu.</w:t>
      </w:r>
    </w:p>
    <w:p>
      <w:pPr>
        <w:pStyle w:val="Heading2"/>
        <w:spacing w:after="180" w:before="240" w:line="360"/>
      </w:pPr>
      <w:r>
        <w:rPr>
          <w:b/>
          <w:bCs/>
          <w:sz w:val="28"/>
          <w:szCs w:val="28"/>
        </w:rPr>
        <w:t xml:space="preserve">3.3. Podsumowanie konfiguracji K3</w:t>
      </w:r>
    </w:p>
    <w:tbl>
      <w:tblPr>
        <w:tblW w:type="dxa" w:w="9073"/>
        <w:tblBorders>
          <w:top w:val="single" w:color="auto" w:sz="4"/>
          <w:left w:val="single" w:color="auto" w:sz="4"/>
          <w:bottom w:val="single" w:color="auto" w:sz="4"/>
          <w:right w:val="single" w:color="auto" w:sz="4"/>
          <w:insideH w:val="single" w:color="auto" w:sz="4"/>
          <w:insideV w:val="single" w:color="auto" w:sz="4"/>
        </w:tblBorders>
      </w:tblPr>
      <w:tblGrid>
        <w:gridCol w:w="3085"/>
        <w:gridCol w:w="2903"/>
        <w:gridCol w:w="3085"/>
      </w:tblGrid>
      <w:tr>
        <w:trPr>
          <w:tblHeader/>
        </w:trPr>
        <w:tc>
          <w:tcPr>
            <w:tcW w:type="dxa" w:w="3085"/>
            <w:shd w:fill="D9E2F3" w:val="clear"/>
            <w:tcMar>
              <w:top w:type="dxa" w:w="60"/>
              <w:left w:type="dxa" w:w="80"/>
              <w:bottom w:type="dxa" w:w="60"/>
              <w:right w:type="dxa" w:w="80"/>
            </w:tcMar>
          </w:tcPr>
          <w:p>
            <w:pPr>
              <w:spacing w:after="0" w:line="240"/>
              <w:jc w:val="left"/>
            </w:pPr>
            <w:r>
              <w:rPr>
                <w:b/>
                <w:bCs/>
                <w:sz w:val="20"/>
                <w:szCs w:val="20"/>
              </w:rPr>
              <w:t xml:space="preserve">Zdarzenie</w:t>
            </w:r>
          </w:p>
        </w:tc>
        <w:tc>
          <w:tcPr>
            <w:tcW w:type="dxa" w:w="2903"/>
            <w:shd w:fill="D9E2F3" w:val="clear"/>
            <w:tcMar>
              <w:top w:type="dxa" w:w="60"/>
              <w:left w:type="dxa" w:w="80"/>
              <w:bottom w:type="dxa" w:w="60"/>
              <w:right w:type="dxa" w:w="80"/>
            </w:tcMar>
          </w:tcPr>
          <w:p>
            <w:pPr>
              <w:spacing w:after="0" w:line="240"/>
              <w:jc w:val="center"/>
            </w:pPr>
            <w:r>
              <w:rPr>
                <w:b/>
                <w:bCs/>
                <w:sz w:val="20"/>
                <w:szCs w:val="20"/>
              </w:rPr>
              <w:t xml:space="preserve">Czas autonomii</w:t>
            </w:r>
          </w:p>
        </w:tc>
        <w:tc>
          <w:tcPr>
            <w:tcW w:type="dxa" w:w="3085"/>
            <w:shd w:fill="D9E2F3" w:val="clear"/>
            <w:tcMar>
              <w:top w:type="dxa" w:w="60"/>
              <w:left w:type="dxa" w:w="80"/>
              <w:bottom w:type="dxa" w:w="60"/>
              <w:right w:type="dxa" w:w="80"/>
            </w:tcMar>
          </w:tcPr>
          <w:p>
            <w:pPr>
              <w:spacing w:after="0" w:line="240"/>
              <w:jc w:val="center"/>
            </w:pPr>
            <w:r>
              <w:rPr>
                <w:b/>
                <w:bCs/>
                <w:sz w:val="20"/>
                <w:szCs w:val="20"/>
              </w:rPr>
              <w:t xml:space="preserve">Pokrycie</w:t>
            </w:r>
          </w:p>
        </w:tc>
      </w:tr>
      <w:tr>
        <w:trPr>
          <w:tblHeader w:val="false"/>
        </w:trPr>
        <w:tc>
          <w:tcPr>
            <w:tcW w:type="dxa" w:w="3085"/>
            <w:shd w:fill="FFF2CC" w:val="clear"/>
            <w:tcMar>
              <w:top w:type="dxa" w:w="60"/>
              <w:left w:type="dxa" w:w="80"/>
              <w:bottom w:type="dxa" w:w="60"/>
              <w:right w:type="dxa" w:w="80"/>
            </w:tcMar>
          </w:tcPr>
          <w:p>
            <w:pPr>
              <w:spacing w:after="0" w:line="240"/>
              <w:jc w:val="left"/>
            </w:pPr>
            <w:r>
              <w:rPr>
                <w:b/>
                <w:bCs/>
                <w:sz w:val="20"/>
                <w:szCs w:val="20"/>
              </w:rPr>
              <w:t xml:space="preserve">A1 — black-sky 72 h</w:t>
            </w:r>
          </w:p>
        </w:tc>
        <w:tc>
          <w:tcPr>
            <w:tcW w:type="dxa" w:w="2903"/>
            <w:shd w:fill="FFF2CC" w:val="clear"/>
            <w:tcMar>
              <w:top w:type="dxa" w:w="60"/>
              <w:left w:type="dxa" w:w="80"/>
              <w:bottom w:type="dxa" w:w="60"/>
              <w:right w:type="dxa" w:w="80"/>
            </w:tcMar>
          </w:tcPr>
          <w:p>
            <w:pPr>
              <w:spacing w:after="0" w:line="240"/>
              <w:jc w:val="center"/>
            </w:pPr>
            <w:r>
              <w:rPr>
                <w:sz w:val="20"/>
                <w:szCs w:val="20"/>
              </w:rPr>
              <w:t xml:space="preserve">pełne 72 h</w:t>
            </w:r>
          </w:p>
        </w:tc>
        <w:tc>
          <w:tcPr>
            <w:tcW w:type="dxa" w:w="3085"/>
            <w:shd w:fill="FFF2CC" w:val="clear"/>
            <w:tcMar>
              <w:top w:type="dxa" w:w="60"/>
              <w:left w:type="dxa" w:w="80"/>
              <w:bottom w:type="dxa" w:w="60"/>
              <w:right w:type="dxa" w:w="80"/>
            </w:tcMar>
          </w:tcPr>
          <w:p>
            <w:pPr>
              <w:spacing w:after="0" w:line="240"/>
              <w:jc w:val="center"/>
            </w:pPr>
            <w:r>
              <w:rPr>
                <w:sz w:val="20"/>
                <w:szCs w:val="20"/>
              </w:rPr>
              <w:t xml:space="preserve">88,1%</w:t>
            </w:r>
          </w:p>
        </w:tc>
      </w:tr>
      <w:tr>
        <w:trPr>
          <w:tblHeader w:val="false"/>
        </w:trPr>
        <w:tc>
          <w:tcPr>
            <w:tcW w:type="dxa" w:w="3085"/>
            <w:shd w:fill="FFF2CC" w:val="clear"/>
            <w:tcMar>
              <w:top w:type="dxa" w:w="60"/>
              <w:left w:type="dxa" w:w="80"/>
              <w:bottom w:type="dxa" w:w="60"/>
              <w:right w:type="dxa" w:w="80"/>
            </w:tcMar>
          </w:tcPr>
          <w:p>
            <w:pPr>
              <w:spacing w:after="0" w:line="240"/>
              <w:jc w:val="left"/>
            </w:pPr>
            <w:r>
              <w:rPr>
                <w:b/>
                <w:bCs/>
                <w:sz w:val="20"/>
                <w:szCs w:val="20"/>
              </w:rPr>
              <w:t xml:space="preserve">A1 — tryb krytyczny</w:t>
            </w:r>
          </w:p>
        </w:tc>
        <w:tc>
          <w:tcPr>
            <w:tcW w:type="dxa" w:w="2903"/>
            <w:shd w:fill="FFF2CC" w:val="clear"/>
            <w:tcMar>
              <w:top w:type="dxa" w:w="60"/>
              <w:left w:type="dxa" w:w="80"/>
              <w:bottom w:type="dxa" w:w="60"/>
              <w:right w:type="dxa" w:w="80"/>
            </w:tcMar>
          </w:tcPr>
          <w:p>
            <w:pPr>
              <w:spacing w:after="0" w:line="240"/>
              <w:jc w:val="center"/>
            </w:pPr>
            <w:r>
              <w:rPr>
                <w:sz w:val="20"/>
                <w:szCs w:val="20"/>
              </w:rPr>
              <w:t xml:space="preserve">nieograniczony</w:t>
            </w:r>
          </w:p>
        </w:tc>
        <w:tc>
          <w:tcPr>
            <w:tcW w:type="dxa" w:w="3085"/>
            <w:shd w:fill="FFF2CC" w:val="clear"/>
            <w:tcMar>
              <w:top w:type="dxa" w:w="60"/>
              <w:left w:type="dxa" w:w="80"/>
              <w:bottom w:type="dxa" w:w="60"/>
              <w:right w:type="dxa" w:w="80"/>
            </w:tcMar>
          </w:tcPr>
          <w:p>
            <w:pPr>
              <w:spacing w:after="0" w:line="240"/>
              <w:jc w:val="center"/>
            </w:pPr>
            <w:r>
              <w:rPr>
                <w:sz w:val="20"/>
                <w:szCs w:val="20"/>
              </w:rPr>
              <w:t xml:space="preserve">100%</w:t>
            </w:r>
          </w:p>
        </w:tc>
      </w:tr>
      <w:tr>
        <w:trPr>
          <w:tblHeader w:val="false"/>
        </w:trPr>
        <w:tc>
          <w:tcPr>
            <w:tcW w:type="dxa" w:w="3085"/>
            <w:shd w:fill="FFF2CC" w:val="clear"/>
            <w:tcMar>
              <w:top w:type="dxa" w:w="60"/>
              <w:left w:type="dxa" w:w="80"/>
              <w:bottom w:type="dxa" w:w="60"/>
              <w:right w:type="dxa" w:w="80"/>
            </w:tcMar>
          </w:tcPr>
          <w:p>
            <w:pPr>
              <w:spacing w:after="0" w:line="240"/>
              <w:jc w:val="left"/>
            </w:pPr>
            <w:r>
              <w:rPr>
                <w:b/>
                <w:bCs/>
                <w:sz w:val="20"/>
                <w:szCs w:val="20"/>
              </w:rPr>
              <w:t xml:space="preserve">A2 — przerwy 2–7 h</w:t>
            </w:r>
          </w:p>
        </w:tc>
        <w:tc>
          <w:tcPr>
            <w:tcW w:type="dxa" w:w="2903"/>
            <w:shd w:fill="FFF2CC" w:val="clear"/>
            <w:tcMar>
              <w:top w:type="dxa" w:w="60"/>
              <w:left w:type="dxa" w:w="80"/>
              <w:bottom w:type="dxa" w:w="60"/>
              <w:right w:type="dxa" w:w="80"/>
            </w:tcMar>
          </w:tcPr>
          <w:p>
            <w:pPr>
              <w:spacing w:after="0" w:line="240"/>
              <w:jc w:val="center"/>
            </w:pPr>
            <w:r>
              <w:rPr>
                <w:sz w:val="20"/>
                <w:szCs w:val="20"/>
              </w:rPr>
              <w:t xml:space="preserve">pełne pokrycie</w:t>
            </w:r>
          </w:p>
        </w:tc>
        <w:tc>
          <w:tcPr>
            <w:tcW w:type="dxa" w:w="3085"/>
            <w:shd w:fill="FFF2CC" w:val="clear"/>
            <w:tcMar>
              <w:top w:type="dxa" w:w="60"/>
              <w:left w:type="dxa" w:w="80"/>
              <w:bottom w:type="dxa" w:w="60"/>
              <w:right w:type="dxa" w:w="80"/>
            </w:tcMar>
          </w:tcPr>
          <w:p>
            <w:pPr>
              <w:spacing w:after="0" w:line="240"/>
              <w:jc w:val="center"/>
            </w:pPr>
            <w:r>
              <w:rPr>
                <w:sz w:val="20"/>
                <w:szCs w:val="20"/>
              </w:rPr>
              <w:t xml:space="preserve">98,9%</w:t>
            </w:r>
          </w:p>
        </w:tc>
      </w:tr>
    </w:tbl>
    <w:p>
      <w:pPr>
        <w:spacing w:after="200" w:before="80" w:line="240"/>
        <w:jc w:val="center"/>
      </w:pPr>
      <w:r>
        <w:rPr>
          <w:i/>
          <w:iCs/>
          <w:sz w:val="20"/>
          <w:szCs w:val="20"/>
        </w:rPr>
        <w:t xml:space="preserve">Tabela 13. Zestawienie czasów autonomii konfiguracji K3</w:t>
      </w:r>
    </w:p>
    <w:p>
      <w:pPr>
        <w:spacing w:after="60" w:before="120"/>
        <w:jc w:val="center"/>
      </w:pPr>
      <w:r>
        <w:drawing>
          <wp:inline distT="0" distB="0" distL="0" distR="0">
            <wp:extent cx="4095750" cy="199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1990725"/>
                    </a:xfrm>
                    <a:prstGeom prst="rect">
                      <a:avLst/>
                    </a:prstGeom>
                  </pic:spPr>
                </pic:pic>
              </a:graphicData>
            </a:graphic>
          </wp:inline>
        </w:drawing>
      </w:r>
    </w:p>
    <w:p>
      <w:pPr>
        <w:spacing w:after="200" w:before="80" w:line="240"/>
        <w:jc w:val="center"/>
      </w:pPr>
      <w:r>
        <w:rPr>
          <w:i/>
          <w:iCs/>
          <w:sz w:val="20"/>
          <w:szCs w:val="20"/>
        </w:rPr>
        <w:t xml:space="preserve">Rysunek 6. Wariant A2 — redukcja energii niedostarczonej dzięki kogeneracji</w:t>
      </w:r>
    </w:p>
    <w:p>
      <w:r>
        <w:br w:type="page"/>
      </w:r>
    </w:p>
    <w:p>
      <w:pPr>
        <w:pStyle w:val="Heading1"/>
        <w:spacing w:after="240" w:before="240" w:line="360"/>
      </w:pPr>
      <w:r>
        <w:rPr>
          <w:b/>
          <w:bCs/>
          <w:sz w:val="28"/>
          <w:szCs w:val="28"/>
        </w:rPr>
        <w:t xml:space="preserve">4. Zestawienie porównawcze czasów autonomii</w:t>
      </w:r>
    </w:p>
    <w:tbl>
      <w:tblPr>
        <w:tblW w:type="dxa" w:w="9073"/>
        <w:tblBorders>
          <w:top w:val="single" w:color="auto" w:sz="4"/>
          <w:left w:val="single" w:color="auto" w:sz="4"/>
          <w:bottom w:val="single" w:color="auto" w:sz="4"/>
          <w:right w:val="single" w:color="auto" w:sz="4"/>
          <w:insideH w:val="single" w:color="auto" w:sz="4"/>
          <w:insideV w:val="single" w:color="auto" w:sz="4"/>
        </w:tblBorders>
      </w:tblPr>
      <w:tblGrid>
        <w:gridCol w:w="3085"/>
        <w:gridCol w:w="1996"/>
        <w:gridCol w:w="1996"/>
        <w:gridCol w:w="1996"/>
      </w:tblGrid>
      <w:tr>
        <w:trPr>
          <w:tblHeader/>
        </w:trPr>
        <w:tc>
          <w:tcPr>
            <w:tcW w:type="dxa" w:w="3085"/>
            <w:shd w:fill="D9E2F3" w:val="clear"/>
            <w:tcMar>
              <w:top w:type="dxa" w:w="60"/>
              <w:left w:type="dxa" w:w="80"/>
              <w:bottom w:type="dxa" w:w="60"/>
              <w:right w:type="dxa" w:w="80"/>
            </w:tcMar>
          </w:tcPr>
          <w:p>
            <w:pPr>
              <w:spacing w:after="0" w:line="240"/>
              <w:jc w:val="left"/>
            </w:pPr>
            <w:r>
              <w:rPr>
                <w:b/>
                <w:bCs/>
                <w:sz w:val="20"/>
                <w:szCs w:val="20"/>
              </w:rPr>
              <w:t xml:space="preserve">Konfiguracja</w:t>
            </w:r>
          </w:p>
        </w:tc>
        <w:tc>
          <w:tcPr>
            <w:tcW w:type="dxa" w:w="1996"/>
            <w:shd w:fill="D9E2F3" w:val="clear"/>
            <w:tcMar>
              <w:top w:type="dxa" w:w="60"/>
              <w:left w:type="dxa" w:w="80"/>
              <w:bottom w:type="dxa" w:w="60"/>
              <w:right w:type="dxa" w:w="80"/>
            </w:tcMar>
          </w:tcPr>
          <w:p>
            <w:pPr>
              <w:spacing w:after="0" w:line="240"/>
              <w:jc w:val="center"/>
            </w:pPr>
            <w:r>
              <w:rPr>
                <w:b/>
                <w:bCs/>
                <w:sz w:val="20"/>
                <w:szCs w:val="20"/>
              </w:rPr>
              <w:t xml:space="preserve">A1 — pełne obciążenie</w:t>
            </w:r>
          </w:p>
        </w:tc>
        <w:tc>
          <w:tcPr>
            <w:tcW w:type="dxa" w:w="1996"/>
            <w:shd w:fill="D9E2F3" w:val="clear"/>
            <w:tcMar>
              <w:top w:type="dxa" w:w="60"/>
              <w:left w:type="dxa" w:w="80"/>
              <w:bottom w:type="dxa" w:w="60"/>
              <w:right w:type="dxa" w:w="80"/>
            </w:tcMar>
          </w:tcPr>
          <w:p>
            <w:pPr>
              <w:spacing w:after="0" w:line="240"/>
              <w:jc w:val="center"/>
            </w:pPr>
            <w:r>
              <w:rPr>
                <w:b/>
                <w:bCs/>
                <w:sz w:val="20"/>
                <w:szCs w:val="20"/>
              </w:rPr>
              <w:t xml:space="preserve">A1 — odbiory krytyczne</w:t>
            </w:r>
          </w:p>
        </w:tc>
        <w:tc>
          <w:tcPr>
            <w:tcW w:type="dxa" w:w="1996"/>
            <w:shd w:fill="D9E2F3" w:val="clear"/>
            <w:tcMar>
              <w:top w:type="dxa" w:w="60"/>
              <w:left w:type="dxa" w:w="80"/>
              <w:bottom w:type="dxa" w:w="60"/>
              <w:right w:type="dxa" w:w="80"/>
            </w:tcMar>
          </w:tcPr>
          <w:p>
            <w:pPr>
              <w:spacing w:after="0" w:line="240"/>
              <w:jc w:val="center"/>
            </w:pPr>
            <w:r>
              <w:rPr>
                <w:b/>
                <w:bCs/>
                <w:sz w:val="20"/>
                <w:szCs w:val="20"/>
              </w:rPr>
              <w:t xml:space="preserve">A2 — przerwy krótkie</w:t>
            </w:r>
          </w:p>
        </w:tc>
      </w:tr>
      <w:tr>
        <w:trPr>
          <w:tblHeader w:val="false"/>
        </w:trPr>
        <w:tc>
          <w:tcPr>
            <w:tcW w:type="dxa" w:w="3085"/>
            <w:shd w:fill="FCE4E4" w:val="clear"/>
            <w:tcMar>
              <w:top w:type="dxa" w:w="60"/>
              <w:left w:type="dxa" w:w="80"/>
              <w:bottom w:type="dxa" w:w="60"/>
              <w:right w:type="dxa" w:w="80"/>
            </w:tcMar>
          </w:tcPr>
          <w:p>
            <w:pPr>
              <w:spacing w:after="0" w:line="240"/>
              <w:jc w:val="left"/>
            </w:pPr>
            <w:r>
              <w:rPr>
                <w:b/>
                <w:bCs/>
                <w:sz w:val="20"/>
                <w:szCs w:val="20"/>
              </w:rPr>
              <w:t xml:space="preserve">K1 bez agregatu</w:t>
            </w:r>
          </w:p>
        </w:tc>
        <w:tc>
          <w:tcPr>
            <w:tcW w:type="dxa" w:w="1996"/>
            <w:shd w:fill="FCE4E4" w:val="clear"/>
            <w:tcMar>
              <w:top w:type="dxa" w:w="60"/>
              <w:left w:type="dxa" w:w="80"/>
              <w:bottom w:type="dxa" w:w="60"/>
              <w:right w:type="dxa" w:w="80"/>
            </w:tcMar>
          </w:tcPr>
          <w:p>
            <w:pPr>
              <w:spacing w:after="0" w:line="240"/>
              <w:jc w:val="center"/>
            </w:pPr>
            <w:r>
              <w:rPr>
                <w:b w:val="false"/>
                <w:bCs w:val="false"/>
                <w:sz w:val="20"/>
                <w:szCs w:val="20"/>
              </w:rPr>
              <w:t xml:space="preserve">0 h</w:t>
            </w:r>
          </w:p>
        </w:tc>
        <w:tc>
          <w:tcPr>
            <w:tcW w:type="dxa" w:w="1996"/>
            <w:shd w:fill="FCE4E4" w:val="clear"/>
            <w:tcMar>
              <w:top w:type="dxa" w:w="60"/>
              <w:left w:type="dxa" w:w="80"/>
              <w:bottom w:type="dxa" w:w="60"/>
              <w:right w:type="dxa" w:w="80"/>
            </w:tcMar>
          </w:tcPr>
          <w:p>
            <w:pPr>
              <w:spacing w:after="0" w:line="240"/>
              <w:jc w:val="center"/>
            </w:pPr>
            <w:r>
              <w:rPr>
                <w:b w:val="false"/>
                <w:bCs w:val="false"/>
                <w:sz w:val="20"/>
                <w:szCs w:val="20"/>
              </w:rPr>
              <w:t xml:space="preserve">0 h</w:t>
            </w:r>
          </w:p>
        </w:tc>
        <w:tc>
          <w:tcPr>
            <w:tcW w:type="dxa" w:w="1996"/>
            <w:shd w:fill="FCE4E4" w:val="clear"/>
            <w:tcMar>
              <w:top w:type="dxa" w:w="60"/>
              <w:left w:type="dxa" w:w="80"/>
              <w:bottom w:type="dxa" w:w="60"/>
              <w:right w:type="dxa" w:w="80"/>
            </w:tcMar>
          </w:tcPr>
          <w:p>
            <w:pPr>
              <w:spacing w:after="0" w:line="240"/>
              <w:jc w:val="center"/>
            </w:pPr>
            <w:r>
              <w:rPr>
                <w:b w:val="false"/>
                <w:bCs w:val="false"/>
                <w:sz w:val="20"/>
                <w:szCs w:val="20"/>
              </w:rPr>
              <w:t xml:space="preserve">0 h</w:t>
            </w:r>
          </w:p>
        </w:tc>
      </w:tr>
      <w:tr>
        <w:trPr>
          <w:tblHeader w:val="false"/>
        </w:trPr>
        <w:tc>
          <w:tcPr>
            <w:tcW w:type="dxa" w:w="3085"/>
            <w:tcMar>
              <w:top w:type="dxa" w:w="60"/>
              <w:left w:type="dxa" w:w="80"/>
              <w:bottom w:type="dxa" w:w="60"/>
              <w:right w:type="dxa" w:w="80"/>
            </w:tcMar>
          </w:tcPr>
          <w:p>
            <w:pPr>
              <w:spacing w:after="0" w:line="240"/>
              <w:jc w:val="left"/>
            </w:pPr>
            <w:r>
              <w:rPr>
                <w:b w:val="false"/>
                <w:bCs w:val="false"/>
                <w:sz w:val="20"/>
                <w:szCs w:val="20"/>
              </w:rPr>
              <w:t xml:space="preserve">K1 z agregatem (zbiornik 1 500 l)</w:t>
            </w:r>
          </w:p>
        </w:tc>
        <w:tc>
          <w:tcPr>
            <w:tcW w:type="dxa" w:w="1996"/>
            <w:tcMar>
              <w:top w:type="dxa" w:w="60"/>
              <w:left w:type="dxa" w:w="80"/>
              <w:bottom w:type="dxa" w:w="60"/>
              <w:right w:type="dxa" w:w="80"/>
            </w:tcMar>
          </w:tcPr>
          <w:p>
            <w:pPr>
              <w:spacing w:after="0" w:line="240"/>
              <w:jc w:val="center"/>
            </w:pPr>
            <w:r>
              <w:rPr>
                <w:b w:val="false"/>
                <w:bCs w:val="false"/>
                <w:sz w:val="20"/>
                <w:szCs w:val="20"/>
              </w:rPr>
              <w:t xml:space="preserve">44,5 h</w:t>
            </w:r>
          </w:p>
        </w:tc>
        <w:tc>
          <w:tcPr>
            <w:tcW w:type="dxa" w:w="1996"/>
            <w:tcMar>
              <w:top w:type="dxa" w:w="60"/>
              <w:left w:type="dxa" w:w="80"/>
              <w:bottom w:type="dxa" w:w="60"/>
              <w:right w:type="dxa" w:w="80"/>
            </w:tcMar>
          </w:tcPr>
          <w:p>
            <w:pPr>
              <w:spacing w:after="0" w:line="240"/>
              <w:jc w:val="center"/>
            </w:pPr>
            <w:r>
              <w:rPr>
                <w:b w:val="false"/>
                <w:bCs w:val="false"/>
                <w:sz w:val="20"/>
                <w:szCs w:val="20"/>
              </w:rPr>
              <w:t xml:space="preserve">113,1 h</w:t>
            </w:r>
          </w:p>
        </w:tc>
        <w:tc>
          <w:tcPr>
            <w:tcW w:type="dxa" w:w="1996"/>
            <w:tcMar>
              <w:top w:type="dxa" w:w="60"/>
              <w:left w:type="dxa" w:w="80"/>
              <w:bottom w:type="dxa" w:w="60"/>
              <w:right w:type="dxa" w:w="80"/>
            </w:tcMar>
          </w:tcPr>
          <w:p>
            <w:pPr>
              <w:spacing w:after="0" w:line="240"/>
              <w:jc w:val="center"/>
            </w:pPr>
            <w:r>
              <w:rPr>
                <w:b w:val="false"/>
                <w:bCs w:val="false"/>
                <w:sz w:val="20"/>
                <w:szCs w:val="20"/>
              </w:rPr>
              <w:t xml:space="preserve">pełne pokrycie</w:t>
            </w:r>
          </w:p>
        </w:tc>
      </w:tr>
      <w:tr>
        <w:trPr>
          <w:tblHeader w:val="false"/>
        </w:trPr>
        <w:tc>
          <w:tcPr>
            <w:tcW w:type="dxa" w:w="3085"/>
            <w:shd w:fill="FCE4E4" w:val="clear"/>
            <w:tcMar>
              <w:top w:type="dxa" w:w="60"/>
              <w:left w:type="dxa" w:w="80"/>
              <w:bottom w:type="dxa" w:w="60"/>
              <w:right w:type="dxa" w:w="80"/>
            </w:tcMar>
          </w:tcPr>
          <w:p>
            <w:pPr>
              <w:spacing w:after="0" w:line="240"/>
              <w:jc w:val="left"/>
            </w:pPr>
            <w:r>
              <w:rPr>
                <w:b/>
                <w:bCs/>
                <w:sz w:val="20"/>
                <w:szCs w:val="20"/>
              </w:rPr>
              <w:t xml:space="preserve">K2 — PV + BESS 200 kWh</w:t>
            </w:r>
          </w:p>
        </w:tc>
        <w:tc>
          <w:tcPr>
            <w:tcW w:type="dxa" w:w="1996"/>
            <w:shd w:fill="FCE4E4" w:val="clear"/>
            <w:tcMar>
              <w:top w:type="dxa" w:w="60"/>
              <w:left w:type="dxa" w:w="80"/>
              <w:bottom w:type="dxa" w:w="60"/>
              <w:right w:type="dxa" w:w="80"/>
            </w:tcMar>
          </w:tcPr>
          <w:p>
            <w:pPr>
              <w:spacing w:after="0" w:line="240"/>
              <w:jc w:val="center"/>
            </w:pPr>
            <w:r>
              <w:rPr>
                <w:b w:val="false"/>
                <w:bCs w:val="false"/>
                <w:sz w:val="20"/>
                <w:szCs w:val="20"/>
              </w:rPr>
              <w:t xml:space="preserve">1,0 h</w:t>
            </w:r>
          </w:p>
        </w:tc>
        <w:tc>
          <w:tcPr>
            <w:tcW w:type="dxa" w:w="1996"/>
            <w:shd w:fill="FCE4E4" w:val="clear"/>
            <w:tcMar>
              <w:top w:type="dxa" w:w="60"/>
              <w:left w:type="dxa" w:w="80"/>
              <w:bottom w:type="dxa" w:w="60"/>
              <w:right w:type="dxa" w:w="80"/>
            </w:tcMar>
          </w:tcPr>
          <w:p>
            <w:pPr>
              <w:spacing w:after="0" w:line="240"/>
              <w:jc w:val="center"/>
            </w:pPr>
            <w:r>
              <w:rPr>
                <w:b w:val="false"/>
                <w:bCs w:val="false"/>
                <w:sz w:val="20"/>
                <w:szCs w:val="20"/>
              </w:rPr>
              <w:t xml:space="preserve">2,5 h</w:t>
            </w:r>
          </w:p>
        </w:tc>
        <w:tc>
          <w:tcPr>
            <w:tcW w:type="dxa" w:w="1996"/>
            <w:shd w:fill="FCE4E4" w:val="clear"/>
            <w:tcMar>
              <w:top w:type="dxa" w:w="60"/>
              <w:left w:type="dxa" w:w="80"/>
              <w:bottom w:type="dxa" w:w="60"/>
              <w:right w:type="dxa" w:w="80"/>
            </w:tcMar>
          </w:tcPr>
          <w:p>
            <w:pPr>
              <w:spacing w:after="0" w:line="240"/>
              <w:jc w:val="center"/>
            </w:pPr>
            <w:r>
              <w:rPr>
                <w:b w:val="false"/>
                <w:bCs w:val="false"/>
                <w:sz w:val="20"/>
                <w:szCs w:val="20"/>
              </w:rPr>
              <w:t xml:space="preserve">częściowe</w:t>
            </w:r>
          </w:p>
        </w:tc>
      </w:tr>
      <w:tr>
        <w:trPr>
          <w:tblHeader w:val="false"/>
        </w:trPr>
        <w:tc>
          <w:tcPr>
            <w:tcW w:type="dxa" w:w="3085"/>
            <w:shd w:fill="FFF2CC" w:val="clear"/>
            <w:tcMar>
              <w:top w:type="dxa" w:w="60"/>
              <w:left w:type="dxa" w:w="80"/>
              <w:bottom w:type="dxa" w:w="60"/>
              <w:right w:type="dxa" w:w="80"/>
            </w:tcMar>
          </w:tcPr>
          <w:p>
            <w:pPr>
              <w:spacing w:after="0" w:line="240"/>
              <w:jc w:val="left"/>
            </w:pPr>
            <w:r>
              <w:rPr>
                <w:b/>
                <w:bCs/>
                <w:sz w:val="20"/>
                <w:szCs w:val="20"/>
              </w:rPr>
              <w:t xml:space="preserve">K3 — mikrosieć z CHP gazowym</w:t>
            </w:r>
          </w:p>
        </w:tc>
        <w:tc>
          <w:tcPr>
            <w:tcW w:type="dxa" w:w="1996"/>
            <w:shd w:fill="FFF2CC" w:val="clear"/>
            <w:tcMar>
              <w:top w:type="dxa" w:w="60"/>
              <w:left w:type="dxa" w:w="80"/>
              <w:bottom w:type="dxa" w:w="60"/>
              <w:right w:type="dxa" w:w="80"/>
            </w:tcMar>
          </w:tcPr>
          <w:p>
            <w:pPr>
              <w:spacing w:after="0" w:line="240"/>
              <w:jc w:val="center"/>
            </w:pPr>
            <w:r>
              <w:rPr>
                <w:b w:val="false"/>
                <w:bCs w:val="false"/>
                <w:sz w:val="20"/>
                <w:szCs w:val="20"/>
              </w:rPr>
              <w:t xml:space="preserve">72 h i więcej</w:t>
            </w:r>
          </w:p>
        </w:tc>
        <w:tc>
          <w:tcPr>
            <w:tcW w:type="dxa" w:w="1996"/>
            <w:shd w:fill="FFF2CC" w:val="clear"/>
            <w:tcMar>
              <w:top w:type="dxa" w:w="60"/>
              <w:left w:type="dxa" w:w="80"/>
              <w:bottom w:type="dxa" w:w="60"/>
              <w:right w:type="dxa" w:w="80"/>
            </w:tcMar>
          </w:tcPr>
          <w:p>
            <w:pPr>
              <w:spacing w:after="0" w:line="240"/>
              <w:jc w:val="center"/>
            </w:pPr>
            <w:r>
              <w:rPr>
                <w:b w:val="false"/>
                <w:bCs w:val="false"/>
                <w:sz w:val="20"/>
                <w:szCs w:val="20"/>
              </w:rPr>
              <w:t xml:space="preserve">nieograniczony</w:t>
            </w:r>
          </w:p>
        </w:tc>
        <w:tc>
          <w:tcPr>
            <w:tcW w:type="dxa" w:w="1996"/>
            <w:shd w:fill="FFF2CC" w:val="clear"/>
            <w:tcMar>
              <w:top w:type="dxa" w:w="60"/>
              <w:left w:type="dxa" w:w="80"/>
              <w:bottom w:type="dxa" w:w="60"/>
              <w:right w:type="dxa" w:w="80"/>
            </w:tcMar>
          </w:tcPr>
          <w:p>
            <w:pPr>
              <w:spacing w:after="0" w:line="240"/>
              <w:jc w:val="center"/>
            </w:pPr>
            <w:r>
              <w:rPr>
                <w:b w:val="false"/>
                <w:bCs w:val="false"/>
                <w:sz w:val="20"/>
                <w:szCs w:val="20"/>
              </w:rPr>
              <w:t xml:space="preserve">pełne pokrycie</w:t>
            </w:r>
          </w:p>
        </w:tc>
      </w:tr>
    </w:tbl>
    <w:p>
      <w:pPr>
        <w:spacing w:after="200" w:before="80" w:line="240"/>
        <w:jc w:val="center"/>
      </w:pPr>
      <w:r>
        <w:rPr>
          <w:i/>
          <w:iCs/>
          <w:sz w:val="20"/>
          <w:szCs w:val="20"/>
        </w:rPr>
        <w:t xml:space="preserve">Tabela 14. Porównanie czasów autonomii dla trzech konfiguracji</w:t>
      </w:r>
    </w:p>
    <w:p>
      <w:pPr>
        <w:spacing w:after="60" w:before="120"/>
        <w:jc w:val="center"/>
      </w:pPr>
      <w:r>
        <w:drawing>
          <wp:inline distT="0" distB="0" distL="0" distR="0">
            <wp:extent cx="43815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2438400"/>
                    </a:xfrm>
                    <a:prstGeom prst="rect">
                      <a:avLst/>
                    </a:prstGeom>
                  </pic:spPr>
                </pic:pic>
              </a:graphicData>
            </a:graphic>
          </wp:inline>
        </w:drawing>
      </w:r>
    </w:p>
    <w:p>
      <w:pPr>
        <w:spacing w:after="200" w:before="80" w:line="240"/>
        <w:jc w:val="center"/>
      </w:pPr>
      <w:r>
        <w:rPr>
          <w:i/>
          <w:iCs/>
          <w:sz w:val="20"/>
          <w:szCs w:val="20"/>
        </w:rPr>
        <w:t xml:space="preserve">Rysunek 4. Porównanie czasów autonomii — zestawienie zbiorcze</w:t>
      </w:r>
    </w:p>
    <w:p>
      <w:pPr>
        <w:spacing w:after="60" w:before="120"/>
        <w:jc w:val="center"/>
      </w:pPr>
      <w:r>
        <w:drawing>
          <wp:inline distT="0" distB="0" distL="0" distR="0">
            <wp:extent cx="4333875"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33875" cy="2286000"/>
                    </a:xfrm>
                    <a:prstGeom prst="rect">
                      <a:avLst/>
                    </a:prstGeom>
                  </pic:spPr>
                </pic:pic>
              </a:graphicData>
            </a:graphic>
          </wp:inline>
        </w:drawing>
      </w:r>
    </w:p>
    <w:p>
      <w:pPr>
        <w:spacing w:after="200" w:before="80" w:line="240"/>
        <w:jc w:val="center"/>
      </w:pPr>
      <w:r>
        <w:rPr>
          <w:i/>
          <w:iCs/>
          <w:sz w:val="20"/>
          <w:szCs w:val="20"/>
        </w:rPr>
        <w:t xml:space="preserve">Rysunek 5. Pokrycie zapotrzebowania energetycznego podczas awarii 72 h</w:t>
      </w:r>
    </w:p>
    <w:p>
      <w:pPr>
        <w:pStyle w:val="Heading2"/>
        <w:spacing w:after="180" w:before="240" w:line="360"/>
      </w:pPr>
      <w:r>
        <w:rPr>
          <w:b/>
          <w:bCs/>
          <w:sz w:val="28"/>
          <w:szCs w:val="28"/>
        </w:rPr>
        <w:t xml:space="preserve">4.1. Interpretacja wyników</w:t>
      </w:r>
    </w:p>
    <w:p>
      <w:pPr>
        <w:spacing w:after="120" w:before="0" w:line="360"/>
        <w:ind w:firstLine="566"/>
        <w:jc w:val="both"/>
      </w:pPr>
      <w:r>
        <w:rPr>
          <w:sz w:val="24"/>
          <w:szCs w:val="24"/>
        </w:rPr>
        <w:t xml:space="preserve">Uszeregowanie konfiguracji według czasu autonomii daje jednoznaczny wynik: K3 zapewnia autonomię nieograniczoną w trybie krytycznym, K1 z agregatem — od 44 do 113 godzin w zależności od trybu pracy, K2 — poniżej trzech godzin.</w:t>
      </w:r>
    </w:p>
    <w:p>
      <w:pPr>
        <w:spacing w:after="120" w:before="0" w:line="360"/>
        <w:ind w:firstLine="566"/>
        <w:jc w:val="both"/>
      </w:pPr>
      <w:r>
        <w:rPr>
          <w:sz w:val="24"/>
          <w:szCs w:val="24"/>
        </w:rPr>
        <w:t xml:space="preserve">Zwraca uwagę jakościowa różnica charakteru ograniczeń. W konfiguracji K1 ograniczeniem jest zapas paliwa zgromadzony na terenie obiektu — wielkość skończona, wyczerpująca się w sposób nieuchronny. W konfiguracji K2 ograniczeniem jest pojemność magazynu oraz sezonowość zasobu słonecznego — obydwa czynniki niemożliwe do przezwyciężenia w skali obiektu. W konfiguracji K3 ograniczeniem jest wyłącznie ciągłość dostaw gazu siecią dystrybucyjną — infrastrukturą podziemną, znacznie mniej podatną na zdarzenia pogodowe niż napowietrzna sieć elektroenergetyczna czy transport drogowy.</w:t>
      </w:r>
    </w:p>
    <w:p>
      <w:pPr>
        <w:pStyle w:val="Heading2"/>
        <w:spacing w:after="180" w:before="240" w:line="360"/>
      </w:pPr>
      <w:r>
        <w:rPr>
          <w:b/>
          <w:bCs/>
          <w:sz w:val="28"/>
          <w:szCs w:val="28"/>
        </w:rPr>
        <w:t xml:space="preserve">4.2. Konfiguracja rekomendowana</w:t>
      </w:r>
    </w:p>
    <w:p>
      <w:pPr>
        <w:spacing w:after="120" w:before="0" w:line="360"/>
        <w:ind w:firstLine="566"/>
        <w:jc w:val="both"/>
      </w:pPr>
      <w:r>
        <w:rPr>
          <w:sz w:val="24"/>
          <w:szCs w:val="24"/>
        </w:rPr>
        <w:t xml:space="preserve">Ze względu na czas autonomii jako rozwiązanie najkorzystniejsze wskazuje się konfigurację K3 — mikrosieć z kogeneracją gazową. Uzasadnienie obejmuje trzy argumenty.</w:t>
      </w:r>
    </w:p>
    <w:p>
      <w:pPr>
        <w:spacing w:after="120" w:before="0" w:line="360"/>
        <w:ind w:firstLine="566"/>
        <w:jc w:val="both"/>
      </w:pPr>
      <w:r>
        <w:rPr>
          <w:sz w:val="24"/>
          <w:szCs w:val="24"/>
        </w:rPr>
        <w:t xml:space="preserve">Autonomia nieograniczona w trybie krytycznym. Jednostka kogeneracyjna o mocy 100 kW przewyższa dwukrotnie zapotrzebowanie odbiorów krytycznych. Dopóki utrzymana jest dostawa gazu, szpital funkcjonuje bez ograniczenia czasowego — w odróżnieniu od agregatu, którego praca kończy się wraz z wyczerpaniem zbiornika.</w:t>
      </w:r>
    </w:p>
    <w:p>
      <w:pPr>
        <w:spacing w:after="120" w:before="0" w:line="360"/>
        <w:ind w:firstLine="566"/>
        <w:jc w:val="both"/>
      </w:pPr>
      <w:r>
        <w:rPr>
          <w:sz w:val="24"/>
          <w:szCs w:val="24"/>
        </w:rPr>
        <w:t xml:space="preserve">Niezależność od transportu drogowego. Sieć gazowa stanowi infrastrukturę podziemną, odporną na zjawiska pogodowe unieruchamiające transport. W scenariuszu black-sky, w którym dostawa oleju napędowego może okazać się niemożliwa, jest to różnica rozstrzygająca.</w:t>
      </w:r>
    </w:p>
    <w:p>
      <w:pPr>
        <w:spacing w:after="120" w:before="0" w:line="360"/>
        <w:ind w:firstLine="566"/>
        <w:jc w:val="both"/>
      </w:pPr>
      <w:r>
        <w:rPr>
          <w:sz w:val="24"/>
          <w:szCs w:val="24"/>
        </w:rPr>
        <w:t xml:space="preserve">Ciągła weryfikacja sprawności. Jednostka kogeneracyjna pracuje przez 7 112 godzin w roku, tj. 81% czasu. Jej zdolność wytwórcza jest potwierdzana w sposób ciągły, co eliminuje ryzyko niepowodzenia rozruchu — zjawisko stanowiące istotną przyczynę zawodności agregatów rezerwowych, uruchamianych wyłącznie podczas okresowych prób.</w:t>
      </w:r>
    </w:p>
    <w:p>
      <w:pPr>
        <w:pStyle w:val="Heading2"/>
        <w:spacing w:after="180" w:before="240" w:line="360"/>
      </w:pPr>
      <w:r>
        <w:rPr>
          <w:b/>
          <w:bCs/>
          <w:sz w:val="28"/>
          <w:szCs w:val="28"/>
        </w:rPr>
        <w:t xml:space="preserve">4.3. Architektura docelowa</w:t>
      </w:r>
    </w:p>
    <w:p>
      <w:pPr>
        <w:spacing w:after="120" w:before="0" w:line="360"/>
        <w:ind w:firstLine="566"/>
        <w:jc w:val="both"/>
      </w:pPr>
      <w:r>
        <w:rPr>
          <w:sz w:val="24"/>
          <w:szCs w:val="24"/>
        </w:rPr>
        <w:t xml:space="preserve">Żadna z badanych konfiguracji nie zapewnia stuprocentowego pokrycia pełnego obciążenia przez cały czas trwania awarii. Jako rozwiązanie docelowe proponuje się układ czteropoziomowy, łączący zalety analizowanych wariantów:</w:t>
      </w:r>
    </w:p>
    <w:tbl>
      <w:tblPr>
        <w:tblW w:type="dxa" w:w="9073"/>
        <w:tblBorders>
          <w:top w:val="single" w:color="auto" w:sz="4"/>
          <w:left w:val="single" w:color="auto" w:sz="4"/>
          <w:bottom w:val="single" w:color="auto" w:sz="4"/>
          <w:right w:val="single" w:color="auto" w:sz="4"/>
          <w:insideH w:val="single" w:color="auto" w:sz="4"/>
          <w:insideV w:val="single" w:color="auto" w:sz="4"/>
        </w:tblBorders>
      </w:tblPr>
      <w:tblGrid>
        <w:gridCol w:w="907"/>
        <w:gridCol w:w="2540"/>
        <w:gridCol w:w="3448"/>
        <w:gridCol w:w="2178"/>
      </w:tblGrid>
      <w:tr>
        <w:trPr>
          <w:tblHeader/>
        </w:trPr>
        <w:tc>
          <w:tcPr>
            <w:tcW w:type="dxa" w:w="907"/>
            <w:shd w:fill="D9E2F3" w:val="clear"/>
            <w:tcMar>
              <w:top w:type="dxa" w:w="60"/>
              <w:left w:type="dxa" w:w="80"/>
              <w:bottom w:type="dxa" w:w="60"/>
              <w:right w:type="dxa" w:w="80"/>
            </w:tcMar>
          </w:tcPr>
          <w:p>
            <w:pPr>
              <w:spacing w:after="0" w:line="240"/>
              <w:jc w:val="left"/>
            </w:pPr>
            <w:r>
              <w:rPr>
                <w:b/>
                <w:bCs/>
                <w:sz w:val="20"/>
                <w:szCs w:val="20"/>
              </w:rPr>
              <w:t xml:space="preserve">Poziom</w:t>
            </w:r>
          </w:p>
        </w:tc>
        <w:tc>
          <w:tcPr>
            <w:tcW w:type="dxa" w:w="2540"/>
            <w:shd w:fill="D9E2F3" w:val="clear"/>
            <w:tcMar>
              <w:top w:type="dxa" w:w="60"/>
              <w:left w:type="dxa" w:w="80"/>
              <w:bottom w:type="dxa" w:w="60"/>
              <w:right w:type="dxa" w:w="80"/>
            </w:tcMar>
          </w:tcPr>
          <w:p>
            <w:pPr>
              <w:spacing w:after="0" w:line="240"/>
              <w:jc w:val="center"/>
            </w:pPr>
            <w:r>
              <w:rPr>
                <w:b/>
                <w:bCs/>
                <w:sz w:val="20"/>
                <w:szCs w:val="20"/>
              </w:rPr>
              <w:t xml:space="preserve">Źródło</w:t>
            </w:r>
          </w:p>
        </w:tc>
        <w:tc>
          <w:tcPr>
            <w:tcW w:type="dxa" w:w="3448"/>
            <w:shd w:fill="D9E2F3" w:val="clear"/>
            <w:tcMar>
              <w:top w:type="dxa" w:w="60"/>
              <w:left w:type="dxa" w:w="80"/>
              <w:bottom w:type="dxa" w:w="60"/>
              <w:right w:type="dxa" w:w="80"/>
            </w:tcMar>
          </w:tcPr>
          <w:p>
            <w:pPr>
              <w:spacing w:after="0" w:line="240"/>
              <w:jc w:val="center"/>
            </w:pPr>
            <w:r>
              <w:rPr>
                <w:b/>
                <w:bCs/>
                <w:sz w:val="20"/>
                <w:szCs w:val="20"/>
              </w:rPr>
              <w:t xml:space="preserve">Zadanie</w:t>
            </w:r>
          </w:p>
        </w:tc>
        <w:tc>
          <w:tcPr>
            <w:tcW w:type="dxa" w:w="2178"/>
            <w:shd w:fill="D9E2F3" w:val="clear"/>
            <w:tcMar>
              <w:top w:type="dxa" w:w="60"/>
              <w:left w:type="dxa" w:w="80"/>
              <w:bottom w:type="dxa" w:w="60"/>
              <w:right w:type="dxa" w:w="80"/>
            </w:tcMar>
          </w:tcPr>
          <w:p>
            <w:pPr>
              <w:spacing w:after="0" w:line="240"/>
              <w:jc w:val="center"/>
            </w:pPr>
            <w:r>
              <w:rPr>
                <w:b/>
                <w:bCs/>
                <w:sz w:val="20"/>
                <w:szCs w:val="20"/>
              </w:rPr>
              <w:t xml:space="preserve">Czas działania</w:t>
            </w:r>
          </w:p>
        </w:tc>
      </w:tr>
      <w:tr>
        <w:trPr>
          <w:tblHeader w:val="false"/>
        </w:trPr>
        <w:tc>
          <w:tcPr>
            <w:tcW w:type="dxa" w:w="907"/>
            <w:tcMar>
              <w:top w:type="dxa" w:w="60"/>
              <w:left w:type="dxa" w:w="80"/>
              <w:bottom w:type="dxa" w:w="60"/>
              <w:right w:type="dxa" w:w="80"/>
            </w:tcMar>
          </w:tcPr>
          <w:p>
            <w:pPr>
              <w:spacing w:after="0" w:line="240"/>
              <w:jc w:val="left"/>
            </w:pPr>
            <w:r>
              <w:rPr>
                <w:sz w:val="20"/>
                <w:szCs w:val="20"/>
              </w:rPr>
              <w:t xml:space="preserve">I</w:t>
            </w:r>
          </w:p>
        </w:tc>
        <w:tc>
          <w:tcPr>
            <w:tcW w:type="dxa" w:w="2540"/>
            <w:tcMar>
              <w:top w:type="dxa" w:w="60"/>
              <w:left w:type="dxa" w:w="80"/>
              <w:bottom w:type="dxa" w:w="60"/>
              <w:right w:type="dxa" w:w="80"/>
            </w:tcMar>
          </w:tcPr>
          <w:p>
            <w:pPr>
              <w:spacing w:after="0" w:line="240"/>
              <w:jc w:val="center"/>
            </w:pPr>
            <w:r>
              <w:rPr>
                <w:sz w:val="20"/>
                <w:szCs w:val="20"/>
              </w:rPr>
              <w:t xml:space="preserve">BESS 300–400 kWh</w:t>
            </w:r>
          </w:p>
        </w:tc>
        <w:tc>
          <w:tcPr>
            <w:tcW w:type="dxa" w:w="3448"/>
            <w:tcMar>
              <w:top w:type="dxa" w:w="60"/>
              <w:left w:type="dxa" w:w="80"/>
              <w:bottom w:type="dxa" w:w="60"/>
              <w:right w:type="dxa" w:w="80"/>
            </w:tcMar>
          </w:tcPr>
          <w:p>
            <w:pPr>
              <w:spacing w:after="0" w:line="240"/>
              <w:jc w:val="center"/>
            </w:pPr>
            <w:r>
              <w:rPr>
                <w:sz w:val="20"/>
                <w:szCs w:val="20"/>
              </w:rPr>
              <w:t xml:space="preserve">Klasa 0,5 s, bufor szczytowy CHP</w:t>
            </w:r>
          </w:p>
        </w:tc>
        <w:tc>
          <w:tcPr>
            <w:tcW w:type="dxa" w:w="2178"/>
            <w:tcMar>
              <w:top w:type="dxa" w:w="60"/>
              <w:left w:type="dxa" w:w="80"/>
              <w:bottom w:type="dxa" w:w="60"/>
              <w:right w:type="dxa" w:w="80"/>
            </w:tcMar>
          </w:tcPr>
          <w:p>
            <w:pPr>
              <w:spacing w:after="0" w:line="240"/>
              <w:jc w:val="center"/>
            </w:pPr>
            <w:r>
              <w:rPr>
                <w:sz w:val="20"/>
                <w:szCs w:val="20"/>
              </w:rPr>
              <w:t xml:space="preserve">sekundy–godziny</w:t>
            </w:r>
          </w:p>
        </w:tc>
      </w:tr>
      <w:tr>
        <w:trPr>
          <w:tblHeader w:val="false"/>
        </w:trPr>
        <w:tc>
          <w:tcPr>
            <w:tcW w:type="dxa" w:w="907"/>
            <w:tcMar>
              <w:top w:type="dxa" w:w="60"/>
              <w:left w:type="dxa" w:w="80"/>
              <w:bottom w:type="dxa" w:w="60"/>
              <w:right w:type="dxa" w:w="80"/>
            </w:tcMar>
          </w:tcPr>
          <w:p>
            <w:pPr>
              <w:spacing w:after="0" w:line="240"/>
              <w:jc w:val="left"/>
            </w:pPr>
            <w:r>
              <w:rPr>
                <w:sz w:val="20"/>
                <w:szCs w:val="20"/>
              </w:rPr>
              <w:t xml:space="preserve">II</w:t>
            </w:r>
          </w:p>
        </w:tc>
        <w:tc>
          <w:tcPr>
            <w:tcW w:type="dxa" w:w="2540"/>
            <w:tcMar>
              <w:top w:type="dxa" w:w="60"/>
              <w:left w:type="dxa" w:w="80"/>
              <w:bottom w:type="dxa" w:w="60"/>
              <w:right w:type="dxa" w:w="80"/>
            </w:tcMar>
          </w:tcPr>
          <w:p>
            <w:pPr>
              <w:spacing w:after="0" w:line="240"/>
              <w:jc w:val="center"/>
            </w:pPr>
            <w:r>
              <w:rPr>
                <w:sz w:val="20"/>
                <w:szCs w:val="20"/>
              </w:rPr>
              <w:t xml:space="preserve">CHP gazowy 100 kW</w:t>
            </w:r>
          </w:p>
        </w:tc>
        <w:tc>
          <w:tcPr>
            <w:tcW w:type="dxa" w:w="3448"/>
            <w:tcMar>
              <w:top w:type="dxa" w:w="60"/>
              <w:left w:type="dxa" w:w="80"/>
              <w:bottom w:type="dxa" w:w="60"/>
              <w:right w:type="dxa" w:w="80"/>
            </w:tcMar>
          </w:tcPr>
          <w:p>
            <w:pPr>
              <w:spacing w:after="0" w:line="240"/>
              <w:jc w:val="center"/>
            </w:pPr>
            <w:r>
              <w:rPr>
                <w:sz w:val="20"/>
                <w:szCs w:val="20"/>
              </w:rPr>
              <w:t xml:space="preserve">Podstawowe źródło autonomii</w:t>
            </w:r>
          </w:p>
        </w:tc>
        <w:tc>
          <w:tcPr>
            <w:tcW w:type="dxa" w:w="2178"/>
            <w:tcMar>
              <w:top w:type="dxa" w:w="60"/>
              <w:left w:type="dxa" w:w="80"/>
              <w:bottom w:type="dxa" w:w="60"/>
              <w:right w:type="dxa" w:w="80"/>
            </w:tcMar>
          </w:tcPr>
          <w:p>
            <w:pPr>
              <w:spacing w:after="0" w:line="240"/>
              <w:jc w:val="center"/>
            </w:pPr>
            <w:r>
              <w:rPr>
                <w:sz w:val="20"/>
                <w:szCs w:val="20"/>
              </w:rPr>
              <w:t xml:space="preserve">nieograniczony</w:t>
            </w:r>
          </w:p>
        </w:tc>
      </w:tr>
      <w:tr>
        <w:trPr>
          <w:tblHeader w:val="false"/>
        </w:trPr>
        <w:tc>
          <w:tcPr>
            <w:tcW w:type="dxa" w:w="907"/>
            <w:tcMar>
              <w:top w:type="dxa" w:w="60"/>
              <w:left w:type="dxa" w:w="80"/>
              <w:bottom w:type="dxa" w:w="60"/>
              <w:right w:type="dxa" w:w="80"/>
            </w:tcMar>
          </w:tcPr>
          <w:p>
            <w:pPr>
              <w:spacing w:after="0" w:line="240"/>
              <w:jc w:val="left"/>
            </w:pPr>
            <w:r>
              <w:rPr>
                <w:sz w:val="20"/>
                <w:szCs w:val="20"/>
              </w:rPr>
              <w:t xml:space="preserve">III</w:t>
            </w:r>
          </w:p>
        </w:tc>
        <w:tc>
          <w:tcPr>
            <w:tcW w:type="dxa" w:w="2540"/>
            <w:tcMar>
              <w:top w:type="dxa" w:w="60"/>
              <w:left w:type="dxa" w:w="80"/>
              <w:bottom w:type="dxa" w:w="60"/>
              <w:right w:type="dxa" w:w="80"/>
            </w:tcMar>
          </w:tcPr>
          <w:p>
            <w:pPr>
              <w:spacing w:after="0" w:line="240"/>
              <w:jc w:val="center"/>
            </w:pPr>
            <w:r>
              <w:rPr>
                <w:sz w:val="20"/>
                <w:szCs w:val="20"/>
              </w:rPr>
              <w:t xml:space="preserve">PV 250 kW</w:t>
            </w:r>
          </w:p>
        </w:tc>
        <w:tc>
          <w:tcPr>
            <w:tcW w:type="dxa" w:w="3448"/>
            <w:tcMar>
              <w:top w:type="dxa" w:w="60"/>
              <w:left w:type="dxa" w:w="80"/>
              <w:bottom w:type="dxa" w:w="60"/>
              <w:right w:type="dxa" w:w="80"/>
            </w:tcMar>
          </w:tcPr>
          <w:p>
            <w:pPr>
              <w:spacing w:after="0" w:line="240"/>
              <w:jc w:val="center"/>
            </w:pPr>
            <w:r>
              <w:rPr>
                <w:sz w:val="20"/>
                <w:szCs w:val="20"/>
              </w:rPr>
              <w:t xml:space="preserve">Wsparcie sezonowe (poza zimą)</w:t>
            </w:r>
          </w:p>
        </w:tc>
        <w:tc>
          <w:tcPr>
            <w:tcW w:type="dxa" w:w="2178"/>
            <w:tcMar>
              <w:top w:type="dxa" w:w="60"/>
              <w:left w:type="dxa" w:w="80"/>
              <w:bottom w:type="dxa" w:w="60"/>
              <w:right w:type="dxa" w:w="80"/>
            </w:tcMar>
          </w:tcPr>
          <w:p>
            <w:pPr>
              <w:spacing w:after="0" w:line="240"/>
              <w:jc w:val="center"/>
            </w:pPr>
            <w:r>
              <w:rPr>
                <w:sz w:val="20"/>
                <w:szCs w:val="20"/>
              </w:rPr>
              <w:t xml:space="preserve">godziny dzienne</w:t>
            </w:r>
          </w:p>
        </w:tc>
      </w:tr>
      <w:tr>
        <w:trPr>
          <w:tblHeader w:val="false"/>
        </w:trPr>
        <w:tc>
          <w:tcPr>
            <w:tcW w:type="dxa" w:w="907"/>
            <w:tcMar>
              <w:top w:type="dxa" w:w="60"/>
              <w:left w:type="dxa" w:w="80"/>
              <w:bottom w:type="dxa" w:w="60"/>
              <w:right w:type="dxa" w:w="80"/>
            </w:tcMar>
          </w:tcPr>
          <w:p>
            <w:pPr>
              <w:spacing w:after="0" w:line="240"/>
              <w:jc w:val="left"/>
            </w:pPr>
            <w:r>
              <w:rPr>
                <w:sz w:val="20"/>
                <w:szCs w:val="20"/>
              </w:rPr>
              <w:t xml:space="preserve">IV</w:t>
            </w:r>
          </w:p>
        </w:tc>
        <w:tc>
          <w:tcPr>
            <w:tcW w:type="dxa" w:w="2540"/>
            <w:tcMar>
              <w:top w:type="dxa" w:w="60"/>
              <w:left w:type="dxa" w:w="80"/>
              <w:bottom w:type="dxa" w:w="60"/>
              <w:right w:type="dxa" w:w="80"/>
            </w:tcMar>
          </w:tcPr>
          <w:p>
            <w:pPr>
              <w:spacing w:after="0" w:line="240"/>
              <w:jc w:val="center"/>
            </w:pPr>
            <w:r>
              <w:rPr>
                <w:sz w:val="20"/>
                <w:szCs w:val="20"/>
              </w:rPr>
              <w:t xml:space="preserve">Agregat 48 kW (30% P.szcz.)</w:t>
            </w:r>
          </w:p>
        </w:tc>
        <w:tc>
          <w:tcPr>
            <w:tcW w:type="dxa" w:w="3448"/>
            <w:tcMar>
              <w:top w:type="dxa" w:w="60"/>
              <w:left w:type="dxa" w:w="80"/>
              <w:bottom w:type="dxa" w:w="60"/>
              <w:right w:type="dxa" w:w="80"/>
            </w:tcMar>
          </w:tcPr>
          <w:p>
            <w:pPr>
              <w:spacing w:after="0" w:line="240"/>
              <w:jc w:val="center"/>
            </w:pPr>
            <w:r>
              <w:rPr>
                <w:sz w:val="20"/>
                <w:szCs w:val="20"/>
              </w:rPr>
              <w:t xml:space="preserve">Rezerwa przy awarii sieci gazowej</w:t>
            </w:r>
          </w:p>
        </w:tc>
        <w:tc>
          <w:tcPr>
            <w:tcW w:type="dxa" w:w="2178"/>
            <w:tcMar>
              <w:top w:type="dxa" w:w="60"/>
              <w:left w:type="dxa" w:w="80"/>
              <w:bottom w:type="dxa" w:w="60"/>
              <w:right w:type="dxa" w:w="80"/>
            </w:tcMar>
          </w:tcPr>
          <w:p>
            <w:pPr>
              <w:spacing w:after="0" w:line="240"/>
              <w:jc w:val="center"/>
            </w:pPr>
            <w:r>
              <w:rPr>
                <w:sz w:val="20"/>
                <w:szCs w:val="20"/>
              </w:rPr>
              <w:t xml:space="preserve">113 h (1 500 l)</w:t>
            </w:r>
          </w:p>
        </w:tc>
      </w:tr>
    </w:tbl>
    <w:p>
      <w:pPr>
        <w:spacing w:after="200" w:before="80" w:line="240"/>
        <w:jc w:val="center"/>
      </w:pPr>
      <w:r>
        <w:rPr>
          <w:i/>
          <w:iCs/>
          <w:sz w:val="20"/>
          <w:szCs w:val="20"/>
        </w:rPr>
        <w:t xml:space="preserve">Tabela 15. Proponowana architektura hierarchiczna</w:t>
      </w:r>
    </w:p>
    <w:p>
      <w:pPr>
        <w:spacing w:after="120" w:before="0" w:line="360"/>
        <w:ind w:firstLine="566"/>
        <w:jc w:val="both"/>
      </w:pPr>
      <w:r>
        <w:rPr>
          <w:sz w:val="24"/>
          <w:szCs w:val="24"/>
        </w:rPr>
        <w:t xml:space="preserve">W układzie takim agregat prądotwórczy pełni rolę rezerwy ostatniej instancji, uruchamianej wyłącznie przy jednoczesnej niedostępności sieci elektroenergetycznej i gazowej. Jego moc może zostać ograniczona do ustawowego minimum 30% mocy szczytowej, ponieważ obciążenie bazowe przejmuje jednostka kogeneracyjna. Przy zbiorniku 1 500 litrów zapewnia on wówczas 113 godzin dodatkowej autonomii.</w:t>
      </w:r>
    </w:p>
    <w:p>
      <w:pPr>
        <w:spacing w:after="120" w:before="0" w:line="360"/>
        <w:ind w:firstLine="566"/>
        <w:jc w:val="both"/>
      </w:pPr>
      <w:r>
        <w:rPr>
          <w:sz w:val="24"/>
          <w:szCs w:val="24"/>
        </w:rPr>
        <w:t xml:space="preserve">Sumaryczny czas autonomii proponowanego układu przekracza zatem 180 godzin w scenariuszu jednoczesnej awarii obu sieci — przy nakładach niższych niż w wariancie klasycznym, w którym agregat wymiarowany jest na pełne obciążenie obiektu.</w:t>
      </w:r>
    </w:p>
    <w:p>
      <w:r>
        <w:br w:type="page"/>
      </w:r>
    </w:p>
    <w:p>
      <w:pPr>
        <w:pStyle w:val="Heading1"/>
        <w:spacing w:after="240" w:before="240" w:line="360"/>
      </w:pPr>
      <w:r>
        <w:rPr>
          <w:b/>
          <w:bCs/>
          <w:sz w:val="28"/>
          <w:szCs w:val="28"/>
        </w:rPr>
        <w:t xml:space="preserve">5. Uzupełnienie — ocena techniczno-ekonomiczna</w:t>
      </w:r>
    </w:p>
    <w:p>
      <w:pPr>
        <w:spacing w:after="120" w:before="0" w:line="360"/>
        <w:ind w:firstLine="566"/>
        <w:jc w:val="both"/>
      </w:pPr>
      <w:r>
        <w:rPr>
          <w:sz w:val="24"/>
          <w:szCs w:val="24"/>
        </w:rPr>
        <w:t xml:space="preserve">Analiza czasu autonomii stanowi zasadniczą treść raportu. Poniższe zestawienie przedstawia uzupełniająco wskaźniki ekonomiczne konfiguracji, umożliwiające ocenę kosztu zapewnienia bezpieczeństwa energetycznego.</w:t>
      </w:r>
    </w:p>
    <w:p>
      <w:pPr>
        <w:pStyle w:val="Heading2"/>
        <w:spacing w:after="180" w:before="240" w:line="360"/>
      </w:pPr>
      <w:r>
        <w:rPr>
          <w:b/>
          <w:bCs/>
          <w:sz w:val="28"/>
          <w:szCs w:val="28"/>
        </w:rPr>
        <w:t xml:space="preserve">5.1. Wskaźniki ekonomiczne</w:t>
      </w:r>
    </w:p>
    <w:tbl>
      <w:tblPr>
        <w:tblW w:type="dxa" w:w="9073"/>
        <w:tblBorders>
          <w:top w:val="single" w:color="auto" w:sz="4"/>
          <w:left w:val="single" w:color="auto" w:sz="4"/>
          <w:bottom w:val="single" w:color="auto" w:sz="4"/>
          <w:right w:val="single" w:color="auto" w:sz="4"/>
          <w:insideH w:val="single" w:color="auto" w:sz="4"/>
          <w:insideV w:val="single" w:color="auto" w:sz="4"/>
        </w:tblBorders>
      </w:tblPr>
      <w:tblGrid>
        <w:gridCol w:w="2540"/>
        <w:gridCol w:w="2178"/>
        <w:gridCol w:w="2178"/>
        <w:gridCol w:w="2178"/>
      </w:tblGrid>
      <w:tr>
        <w:trPr>
          <w:tblHeader/>
        </w:trPr>
        <w:tc>
          <w:tcPr>
            <w:tcW w:type="dxa" w:w="2540"/>
            <w:shd w:fill="D9E2F3" w:val="clear"/>
            <w:tcMar>
              <w:top w:type="dxa" w:w="60"/>
              <w:left w:type="dxa" w:w="80"/>
              <w:bottom w:type="dxa" w:w="60"/>
              <w:right w:type="dxa" w:w="80"/>
            </w:tcMar>
          </w:tcPr>
          <w:p>
            <w:pPr>
              <w:spacing w:after="0" w:line="240"/>
              <w:jc w:val="left"/>
            </w:pPr>
            <w:r>
              <w:rPr>
                <w:b/>
                <w:bCs/>
                <w:sz w:val="20"/>
                <w:szCs w:val="20"/>
              </w:rPr>
              <w:t xml:space="preserve">Wskaźnik</w:t>
            </w:r>
          </w:p>
        </w:tc>
        <w:tc>
          <w:tcPr>
            <w:tcW w:type="dxa" w:w="2178"/>
            <w:shd w:fill="D9E2F3" w:val="clear"/>
            <w:tcMar>
              <w:top w:type="dxa" w:w="60"/>
              <w:left w:type="dxa" w:w="80"/>
              <w:bottom w:type="dxa" w:w="60"/>
              <w:right w:type="dxa" w:w="80"/>
            </w:tcMar>
          </w:tcPr>
          <w:p>
            <w:pPr>
              <w:spacing w:after="0" w:line="240"/>
              <w:jc w:val="center"/>
            </w:pPr>
            <w:r>
              <w:rPr>
                <w:b/>
                <w:bCs/>
                <w:sz w:val="20"/>
                <w:szCs w:val="20"/>
              </w:rPr>
              <w:t xml:space="preserve">K1 Baza</w:t>
            </w:r>
          </w:p>
        </w:tc>
        <w:tc>
          <w:tcPr>
            <w:tcW w:type="dxa" w:w="2178"/>
            <w:shd w:fill="D9E2F3" w:val="clear"/>
            <w:tcMar>
              <w:top w:type="dxa" w:w="60"/>
              <w:left w:type="dxa" w:w="80"/>
              <w:bottom w:type="dxa" w:w="60"/>
              <w:right w:type="dxa" w:w="80"/>
            </w:tcMar>
          </w:tcPr>
          <w:p>
            <w:pPr>
              <w:spacing w:after="0" w:line="240"/>
              <w:jc w:val="center"/>
            </w:pPr>
            <w:r>
              <w:rPr>
                <w:b/>
                <w:bCs/>
                <w:sz w:val="20"/>
                <w:szCs w:val="20"/>
              </w:rPr>
              <w:t xml:space="preserve">K2 Hybryda</w:t>
            </w:r>
          </w:p>
        </w:tc>
        <w:tc>
          <w:tcPr>
            <w:tcW w:type="dxa" w:w="2178"/>
            <w:shd w:fill="D9E2F3" w:val="clear"/>
            <w:tcMar>
              <w:top w:type="dxa" w:w="60"/>
              <w:left w:type="dxa" w:w="80"/>
              <w:bottom w:type="dxa" w:w="60"/>
              <w:right w:type="dxa" w:w="80"/>
            </w:tcMar>
          </w:tcPr>
          <w:p>
            <w:pPr>
              <w:spacing w:after="0" w:line="240"/>
              <w:jc w:val="center"/>
            </w:pPr>
            <w:r>
              <w:rPr>
                <w:b/>
                <w:bCs/>
                <w:sz w:val="20"/>
                <w:szCs w:val="20"/>
              </w:rPr>
              <w:t xml:space="preserve">K3 Mikrosieć</w:t>
            </w:r>
          </w:p>
        </w:tc>
      </w:tr>
      <w:tr>
        <w:trPr>
          <w:tblHeader w:val="false"/>
        </w:trPr>
        <w:tc>
          <w:tcPr>
            <w:tcW w:type="dxa" w:w="2540"/>
            <w:tcMar>
              <w:top w:type="dxa" w:w="60"/>
              <w:left w:type="dxa" w:w="80"/>
              <w:bottom w:type="dxa" w:w="60"/>
              <w:right w:type="dxa" w:w="80"/>
            </w:tcMar>
          </w:tcPr>
          <w:p>
            <w:pPr>
              <w:spacing w:after="0" w:line="240"/>
              <w:jc w:val="left"/>
            </w:pPr>
            <w:r>
              <w:rPr>
                <w:sz w:val="20"/>
                <w:szCs w:val="20"/>
              </w:rPr>
              <w:t xml:space="preserve">NPC (25 lat)</w:t>
            </w:r>
          </w:p>
        </w:tc>
        <w:tc>
          <w:tcPr>
            <w:tcW w:type="dxa" w:w="2178"/>
            <w:tcMar>
              <w:top w:type="dxa" w:w="60"/>
              <w:left w:type="dxa" w:w="80"/>
              <w:bottom w:type="dxa" w:w="60"/>
              <w:right w:type="dxa" w:w="80"/>
            </w:tcMar>
          </w:tcPr>
          <w:p>
            <w:pPr>
              <w:spacing w:after="0" w:line="240"/>
              <w:jc w:val="center"/>
            </w:pPr>
            <w:r>
              <w:rPr>
                <w:sz w:val="20"/>
                <w:szCs w:val="20"/>
              </w:rPr>
              <w:t xml:space="preserve">2,84 M$</w:t>
            </w:r>
          </w:p>
        </w:tc>
        <w:tc>
          <w:tcPr>
            <w:tcW w:type="dxa" w:w="2178"/>
            <w:tcMar>
              <w:top w:type="dxa" w:w="60"/>
              <w:left w:type="dxa" w:w="80"/>
              <w:bottom w:type="dxa" w:w="60"/>
              <w:right w:type="dxa" w:w="80"/>
            </w:tcMar>
          </w:tcPr>
          <w:p>
            <w:pPr>
              <w:spacing w:after="0" w:line="240"/>
              <w:jc w:val="center"/>
            </w:pPr>
            <w:r>
              <w:rPr>
                <w:sz w:val="20"/>
                <w:szCs w:val="20"/>
              </w:rPr>
              <w:t xml:space="preserve">2,54 M$</w:t>
            </w:r>
          </w:p>
        </w:tc>
        <w:tc>
          <w:tcPr>
            <w:tcW w:type="dxa" w:w="2178"/>
            <w:tcMar>
              <w:top w:type="dxa" w:w="60"/>
              <w:left w:type="dxa" w:w="80"/>
              <w:bottom w:type="dxa" w:w="60"/>
              <w:right w:type="dxa" w:w="80"/>
            </w:tcMar>
          </w:tcPr>
          <w:p>
            <w:pPr>
              <w:spacing w:after="0" w:line="240"/>
              <w:jc w:val="center"/>
            </w:pPr>
            <w:r>
              <w:rPr>
                <w:sz w:val="20"/>
                <w:szCs w:val="20"/>
              </w:rPr>
              <w:t xml:space="preserve">4,30 M$ *</w:t>
            </w:r>
          </w:p>
        </w:tc>
      </w:tr>
      <w:tr>
        <w:trPr>
          <w:tblHeader w:val="false"/>
        </w:trPr>
        <w:tc>
          <w:tcPr>
            <w:tcW w:type="dxa" w:w="2540"/>
            <w:tcMar>
              <w:top w:type="dxa" w:w="60"/>
              <w:left w:type="dxa" w:w="80"/>
              <w:bottom w:type="dxa" w:w="60"/>
              <w:right w:type="dxa" w:w="80"/>
            </w:tcMar>
          </w:tcPr>
          <w:p>
            <w:pPr>
              <w:spacing w:after="0" w:line="240"/>
              <w:jc w:val="left"/>
            </w:pPr>
            <w:r>
              <w:rPr>
                <w:sz w:val="20"/>
                <w:szCs w:val="20"/>
              </w:rPr>
              <w:t xml:space="preserve">LCOE [$/kWh]</w:t>
            </w:r>
          </w:p>
        </w:tc>
        <w:tc>
          <w:tcPr>
            <w:tcW w:type="dxa" w:w="2178"/>
            <w:tcMar>
              <w:top w:type="dxa" w:w="60"/>
              <w:left w:type="dxa" w:w="80"/>
              <w:bottom w:type="dxa" w:w="60"/>
              <w:right w:type="dxa" w:w="80"/>
            </w:tcMar>
          </w:tcPr>
          <w:p>
            <w:pPr>
              <w:spacing w:after="0" w:line="240"/>
              <w:jc w:val="center"/>
            </w:pPr>
            <w:r>
              <w:rPr>
                <w:sz w:val="20"/>
                <w:szCs w:val="20"/>
              </w:rPr>
              <w:t xml:space="preserve">0,220–0,225</w:t>
            </w:r>
          </w:p>
        </w:tc>
        <w:tc>
          <w:tcPr>
            <w:tcW w:type="dxa" w:w="2178"/>
            <w:tcMar>
              <w:top w:type="dxa" w:w="60"/>
              <w:left w:type="dxa" w:w="80"/>
              <w:bottom w:type="dxa" w:w="60"/>
              <w:right w:type="dxa" w:w="80"/>
            </w:tcMar>
          </w:tcPr>
          <w:p>
            <w:pPr>
              <w:spacing w:after="0" w:line="240"/>
              <w:jc w:val="center"/>
            </w:pPr>
            <w:r>
              <w:rPr>
                <w:sz w:val="20"/>
                <w:szCs w:val="20"/>
              </w:rPr>
              <w:t xml:space="preserve">0,196</w:t>
            </w:r>
          </w:p>
        </w:tc>
        <w:tc>
          <w:tcPr>
            <w:tcW w:type="dxa" w:w="2178"/>
            <w:tcMar>
              <w:top w:type="dxa" w:w="60"/>
              <w:left w:type="dxa" w:w="80"/>
              <w:bottom w:type="dxa" w:w="60"/>
              <w:right w:type="dxa" w:w="80"/>
            </w:tcMar>
          </w:tcPr>
          <w:p>
            <w:pPr>
              <w:spacing w:after="0" w:line="240"/>
              <w:jc w:val="center"/>
            </w:pPr>
            <w:r>
              <w:rPr>
                <w:sz w:val="20"/>
                <w:szCs w:val="20"/>
              </w:rPr>
              <w:t xml:space="preserve">0,192</w:t>
            </w:r>
          </w:p>
        </w:tc>
      </w:tr>
      <w:tr>
        <w:trPr>
          <w:tblHeader w:val="false"/>
        </w:trPr>
        <w:tc>
          <w:tcPr>
            <w:tcW w:type="dxa" w:w="2540"/>
            <w:tcMar>
              <w:top w:type="dxa" w:w="60"/>
              <w:left w:type="dxa" w:w="80"/>
              <w:bottom w:type="dxa" w:w="60"/>
              <w:right w:type="dxa" w:w="80"/>
            </w:tcMar>
          </w:tcPr>
          <w:p>
            <w:pPr>
              <w:spacing w:after="0" w:line="240"/>
              <w:jc w:val="left"/>
            </w:pPr>
            <w:r>
              <w:rPr>
                <w:sz w:val="20"/>
                <w:szCs w:val="20"/>
              </w:rPr>
              <w:t xml:space="preserve">Nakłady inwestycyjne</w:t>
            </w:r>
          </w:p>
        </w:tc>
        <w:tc>
          <w:tcPr>
            <w:tcW w:type="dxa" w:w="2178"/>
            <w:tcMar>
              <w:top w:type="dxa" w:w="60"/>
              <w:left w:type="dxa" w:w="80"/>
              <w:bottom w:type="dxa" w:w="60"/>
              <w:right w:type="dxa" w:w="80"/>
            </w:tcMar>
          </w:tcPr>
          <w:p>
            <w:pPr>
              <w:spacing w:after="0" w:line="240"/>
              <w:jc w:val="center"/>
            </w:pPr>
            <w:r>
              <w:rPr>
                <w:sz w:val="20"/>
                <w:szCs w:val="20"/>
              </w:rPr>
              <w:t xml:space="preserve">0–90 tys. $</w:t>
            </w:r>
          </w:p>
        </w:tc>
        <w:tc>
          <w:tcPr>
            <w:tcW w:type="dxa" w:w="2178"/>
            <w:tcMar>
              <w:top w:type="dxa" w:w="60"/>
              <w:left w:type="dxa" w:w="80"/>
              <w:bottom w:type="dxa" w:w="60"/>
              <w:right w:type="dxa" w:w="80"/>
            </w:tcMar>
          </w:tcPr>
          <w:p>
            <w:pPr>
              <w:spacing w:after="0" w:line="240"/>
              <w:jc w:val="center"/>
            </w:pPr>
            <w:r>
              <w:rPr>
                <w:sz w:val="20"/>
                <w:szCs w:val="20"/>
              </w:rPr>
              <w:t xml:space="preserve">245 tys. $</w:t>
            </w:r>
          </w:p>
        </w:tc>
        <w:tc>
          <w:tcPr>
            <w:tcW w:type="dxa" w:w="2178"/>
            <w:tcMar>
              <w:top w:type="dxa" w:w="60"/>
              <w:left w:type="dxa" w:w="80"/>
              <w:bottom w:type="dxa" w:w="60"/>
              <w:right w:type="dxa" w:w="80"/>
            </w:tcMar>
          </w:tcPr>
          <w:p>
            <w:pPr>
              <w:spacing w:after="0" w:line="240"/>
              <w:jc w:val="center"/>
            </w:pPr>
            <w:r>
              <w:rPr>
                <w:sz w:val="20"/>
                <w:szCs w:val="20"/>
              </w:rPr>
              <w:t xml:space="preserve">695 tys. $</w:t>
            </w:r>
          </w:p>
        </w:tc>
      </w:tr>
      <w:tr>
        <w:trPr>
          <w:tblHeader w:val="false"/>
        </w:trPr>
        <w:tc>
          <w:tcPr>
            <w:tcW w:type="dxa" w:w="2540"/>
            <w:tcMar>
              <w:top w:type="dxa" w:w="60"/>
              <w:left w:type="dxa" w:w="80"/>
              <w:bottom w:type="dxa" w:w="60"/>
              <w:right w:type="dxa" w:w="80"/>
            </w:tcMar>
          </w:tcPr>
          <w:p>
            <w:pPr>
              <w:spacing w:after="0" w:line="240"/>
              <w:jc w:val="left"/>
            </w:pPr>
            <w:r>
              <w:rPr>
                <w:sz w:val="20"/>
                <w:szCs w:val="20"/>
              </w:rPr>
              <w:t xml:space="preserve">Koszt operacyjny [$/rok]</w:t>
            </w:r>
          </w:p>
        </w:tc>
        <w:tc>
          <w:tcPr>
            <w:tcW w:type="dxa" w:w="2178"/>
            <w:tcMar>
              <w:top w:type="dxa" w:w="60"/>
              <w:left w:type="dxa" w:w="80"/>
              <w:bottom w:type="dxa" w:w="60"/>
              <w:right w:type="dxa" w:w="80"/>
            </w:tcMar>
          </w:tcPr>
          <w:p>
            <w:pPr>
              <w:spacing w:after="0" w:line="240"/>
              <w:jc w:val="center"/>
            </w:pPr>
            <w:r>
              <w:rPr>
                <w:sz w:val="20"/>
                <w:szCs w:val="20"/>
              </w:rPr>
              <w:t xml:space="preserve">220 000</w:t>
            </w:r>
          </w:p>
        </w:tc>
        <w:tc>
          <w:tcPr>
            <w:tcW w:type="dxa" w:w="2178"/>
            <w:tcMar>
              <w:top w:type="dxa" w:w="60"/>
              <w:left w:type="dxa" w:w="80"/>
              <w:bottom w:type="dxa" w:w="60"/>
              <w:right w:type="dxa" w:w="80"/>
            </w:tcMar>
          </w:tcPr>
          <w:p>
            <w:pPr>
              <w:spacing w:after="0" w:line="240"/>
              <w:jc w:val="center"/>
            </w:pPr>
            <w:r>
              <w:rPr>
                <w:sz w:val="20"/>
                <w:szCs w:val="20"/>
              </w:rPr>
              <w:t xml:space="preserve">177 865</w:t>
            </w:r>
          </w:p>
        </w:tc>
        <w:tc>
          <w:tcPr>
            <w:tcW w:type="dxa" w:w="2178"/>
            <w:tcMar>
              <w:top w:type="dxa" w:w="60"/>
              <w:left w:type="dxa" w:w="80"/>
              <w:bottom w:type="dxa" w:w="60"/>
              <w:right w:type="dxa" w:w="80"/>
            </w:tcMar>
          </w:tcPr>
          <w:p>
            <w:pPr>
              <w:spacing w:after="0" w:line="240"/>
              <w:jc w:val="center"/>
            </w:pPr>
            <w:r>
              <w:rPr>
                <w:sz w:val="20"/>
                <w:szCs w:val="20"/>
              </w:rPr>
              <w:t xml:space="preserve">279 005</w:t>
            </w:r>
          </w:p>
        </w:tc>
      </w:tr>
      <w:tr>
        <w:trPr>
          <w:tblHeader w:val="false"/>
        </w:trPr>
        <w:tc>
          <w:tcPr>
            <w:tcW w:type="dxa" w:w="2540"/>
            <w:tcMar>
              <w:top w:type="dxa" w:w="60"/>
              <w:left w:type="dxa" w:w="80"/>
              <w:bottom w:type="dxa" w:w="60"/>
              <w:right w:type="dxa" w:w="80"/>
            </w:tcMar>
          </w:tcPr>
          <w:p>
            <w:pPr>
              <w:spacing w:after="0" w:line="240"/>
              <w:jc w:val="left"/>
            </w:pPr>
            <w:r>
              <w:rPr>
                <w:sz w:val="20"/>
                <w:szCs w:val="20"/>
              </w:rPr>
              <w:t xml:space="preserve">Okres zwrotu</w:t>
            </w:r>
          </w:p>
        </w:tc>
        <w:tc>
          <w:tcPr>
            <w:tcW w:type="dxa" w:w="2178"/>
            <w:tcMar>
              <w:top w:type="dxa" w:w="60"/>
              <w:left w:type="dxa" w:w="80"/>
              <w:bottom w:type="dxa" w:w="60"/>
              <w:right w:type="dxa" w:w="80"/>
            </w:tcMar>
          </w:tcPr>
          <w:p>
            <w:pPr>
              <w:spacing w:after="0" w:line="240"/>
              <w:jc w:val="center"/>
            </w:pPr>
            <w:r>
              <w:rPr>
                <w:sz w:val="20"/>
                <w:szCs w:val="20"/>
              </w:rPr>
              <w:t xml:space="preserve">—</w:t>
            </w:r>
          </w:p>
        </w:tc>
        <w:tc>
          <w:tcPr>
            <w:tcW w:type="dxa" w:w="2178"/>
            <w:tcMar>
              <w:top w:type="dxa" w:w="60"/>
              <w:left w:type="dxa" w:w="80"/>
              <w:bottom w:type="dxa" w:w="60"/>
              <w:right w:type="dxa" w:w="80"/>
            </w:tcMar>
          </w:tcPr>
          <w:p>
            <w:pPr>
              <w:spacing w:after="0" w:line="240"/>
              <w:jc w:val="center"/>
            </w:pPr>
            <w:r>
              <w:rPr>
                <w:sz w:val="20"/>
                <w:szCs w:val="20"/>
              </w:rPr>
              <w:t xml:space="preserve">5,7 lat</w:t>
            </w:r>
          </w:p>
        </w:tc>
        <w:tc>
          <w:tcPr>
            <w:tcW w:type="dxa" w:w="2178"/>
            <w:tcMar>
              <w:top w:type="dxa" w:w="60"/>
              <w:left w:type="dxa" w:w="80"/>
              <w:bottom w:type="dxa" w:w="60"/>
              <w:right w:type="dxa" w:w="80"/>
            </w:tcMar>
          </w:tcPr>
          <w:p>
            <w:pPr>
              <w:spacing w:after="0" w:line="240"/>
              <w:jc w:val="center"/>
            </w:pPr>
            <w:r>
              <w:rPr>
                <w:sz w:val="20"/>
                <w:szCs w:val="20"/>
              </w:rPr>
              <w:t xml:space="preserve">7,9 lat</w:t>
            </w:r>
          </w:p>
        </w:tc>
      </w:tr>
      <w:tr>
        <w:trPr>
          <w:tblHeader w:val="false"/>
        </w:trPr>
        <w:tc>
          <w:tcPr>
            <w:tcW w:type="dxa" w:w="2540"/>
            <w:shd w:fill="FFF2CC" w:val="clear"/>
            <w:tcMar>
              <w:top w:type="dxa" w:w="60"/>
              <w:left w:type="dxa" w:w="80"/>
              <w:bottom w:type="dxa" w:w="60"/>
              <w:right w:type="dxa" w:w="80"/>
            </w:tcMar>
          </w:tcPr>
          <w:p>
            <w:pPr>
              <w:spacing w:after="0" w:line="240"/>
              <w:jc w:val="left"/>
            </w:pPr>
            <w:r>
              <w:rPr>
                <w:b/>
                <w:bCs/>
                <w:sz w:val="20"/>
                <w:szCs w:val="20"/>
              </w:rPr>
              <w:t xml:space="preserve">Udział źródeł własnych</w:t>
            </w:r>
          </w:p>
        </w:tc>
        <w:tc>
          <w:tcPr>
            <w:tcW w:type="dxa" w:w="2178"/>
            <w:shd w:fill="FFF2CC" w:val="clear"/>
            <w:tcMar>
              <w:top w:type="dxa" w:w="60"/>
              <w:left w:type="dxa" w:w="80"/>
              <w:bottom w:type="dxa" w:w="60"/>
              <w:right w:type="dxa" w:w="80"/>
            </w:tcMar>
          </w:tcPr>
          <w:p>
            <w:pPr>
              <w:spacing w:after="0" w:line="240"/>
              <w:jc w:val="center"/>
            </w:pPr>
            <w:r>
              <w:rPr>
                <w:sz w:val="20"/>
                <w:szCs w:val="20"/>
              </w:rPr>
              <w:t xml:space="preserve">0%</w:t>
            </w:r>
          </w:p>
        </w:tc>
        <w:tc>
          <w:tcPr>
            <w:tcW w:type="dxa" w:w="2178"/>
            <w:shd w:fill="FFF2CC" w:val="clear"/>
            <w:tcMar>
              <w:top w:type="dxa" w:w="60"/>
              <w:left w:type="dxa" w:w="80"/>
              <w:bottom w:type="dxa" w:w="60"/>
              <w:right w:type="dxa" w:w="80"/>
            </w:tcMar>
          </w:tcPr>
          <w:p>
            <w:pPr>
              <w:spacing w:after="0" w:line="240"/>
              <w:jc w:val="center"/>
            </w:pPr>
            <w:r>
              <w:rPr>
                <w:sz w:val="20"/>
                <w:szCs w:val="20"/>
              </w:rPr>
              <w:t xml:space="preserve">21,0%</w:t>
            </w:r>
          </w:p>
        </w:tc>
        <w:tc>
          <w:tcPr>
            <w:tcW w:type="dxa" w:w="2178"/>
            <w:shd w:fill="FFF2CC" w:val="clear"/>
            <w:tcMar>
              <w:top w:type="dxa" w:w="60"/>
              <w:left w:type="dxa" w:w="80"/>
              <w:bottom w:type="dxa" w:w="60"/>
              <w:right w:type="dxa" w:w="80"/>
            </w:tcMar>
          </w:tcPr>
          <w:p>
            <w:pPr>
              <w:spacing w:after="0" w:line="240"/>
              <w:jc w:val="center"/>
            </w:pPr>
            <w:r>
              <w:rPr>
                <w:sz w:val="20"/>
                <w:szCs w:val="20"/>
              </w:rPr>
              <w:t xml:space="preserve">87,3%</w:t>
            </w:r>
          </w:p>
        </w:tc>
      </w:tr>
    </w:tbl>
    <w:p>
      <w:pPr>
        <w:spacing w:after="200" w:before="80" w:line="240"/>
        <w:jc w:val="center"/>
      </w:pPr>
      <w:r>
        <w:rPr>
          <w:i/>
          <w:iCs/>
          <w:sz w:val="20"/>
          <w:szCs w:val="20"/>
        </w:rPr>
        <w:t xml:space="preserve">Tabela 17. Wskaźniki ekonomiczne analizowanych konfiguracji</w:t>
      </w:r>
    </w:p>
    <w:p>
      <w:pPr>
        <w:spacing w:after="120" w:before="0" w:line="360"/>
        <w:jc w:val="both"/>
      </w:pPr>
      <w:r>
        <w:rPr>
          <w:i/>
          <w:iCs/>
          <w:sz w:val="20"/>
          <w:szCs w:val="20"/>
        </w:rPr>
        <w:t xml:space="preserve">* Wartość NPC dla konfiguracji K3 obejmuje dodatkowo koszt paliwa gazowego przeznaczonego na pokrycie zapotrzebowania cieplnego (1 800 MWh rocznie). Bezpośrednie porównanie z pozostałymi konfiguracjami wymaga wprowadzenia szyny cieplnej również do nich.</w:t>
      </w:r>
    </w:p>
    <w:p>
      <w:pPr>
        <w:spacing w:after="120" w:before="0" w:line="360"/>
        <w:ind w:firstLine="566"/>
        <w:jc w:val="both"/>
      </w:pPr>
      <w:r>
        <w:rPr>
          <w:sz w:val="24"/>
          <w:szCs w:val="24"/>
        </w:rPr>
        <w:t xml:space="preserve">Zwraca uwagę, że konfiguracja zapewniająca najdłuższy czas autonomii charakteryzuje się jednocześnie najniższym uśrednionym kosztem energii elektrycznej. Zwiększenie bezpieczeństwa nie odbywa się zatem kosztem pogorszenia wskaźników ekonomicznych, lecz wymaga wyższych nakładów początkowych.</w:t>
      </w:r>
    </w:p>
    <w:p>
      <w:pPr>
        <w:pStyle w:val="Heading2"/>
        <w:spacing w:after="180" w:before="240" w:line="360"/>
      </w:pPr>
      <w:r>
        <w:rPr>
          <w:b/>
          <w:bCs/>
          <w:sz w:val="28"/>
          <w:szCs w:val="28"/>
        </w:rPr>
        <w:t xml:space="preserve">5.2. Dobór jednostki kogeneracyjnej</w:t>
      </w:r>
    </w:p>
    <w:p>
      <w:pPr>
        <w:spacing w:after="120" w:before="0" w:line="360"/>
        <w:ind w:firstLine="566"/>
        <w:jc w:val="both"/>
      </w:pPr>
      <w:r>
        <w:rPr>
          <w:sz w:val="24"/>
          <w:szCs w:val="24"/>
        </w:rPr>
        <w:t xml:space="preserve">Wynik konfiguracji K3 uzyskano dopiero po zastąpieniu generycznego agregatu wysokoprężnego rzeczywistą jednostką gazową z katalogu producenta.</w:t>
      </w:r>
    </w:p>
    <w:tbl>
      <w:tblPr>
        <w:tblW w:type="dxa" w:w="9073"/>
        <w:tblBorders>
          <w:top w:val="single" w:color="auto" w:sz="4"/>
          <w:left w:val="single" w:color="auto" w:sz="4"/>
          <w:bottom w:val="single" w:color="auto" w:sz="4"/>
          <w:right w:val="single" w:color="auto" w:sz="4"/>
          <w:insideH w:val="single" w:color="auto" w:sz="4"/>
          <w:insideV w:val="single" w:color="auto" w:sz="4"/>
        </w:tblBorders>
      </w:tblPr>
      <w:tblGrid>
        <w:gridCol w:w="2903"/>
        <w:gridCol w:w="3085"/>
        <w:gridCol w:w="3085"/>
      </w:tblGrid>
      <w:tr>
        <w:trPr>
          <w:tblHeader/>
        </w:trPr>
        <w:tc>
          <w:tcPr>
            <w:tcW w:type="dxa" w:w="2903"/>
            <w:shd w:fill="D9E2F3" w:val="clear"/>
            <w:tcMar>
              <w:top w:type="dxa" w:w="60"/>
              <w:left w:type="dxa" w:w="80"/>
              <w:bottom w:type="dxa" w:w="60"/>
              <w:right w:type="dxa" w:w="80"/>
            </w:tcMar>
          </w:tcPr>
          <w:p>
            <w:pPr>
              <w:spacing w:after="0" w:line="240"/>
              <w:jc w:val="left"/>
            </w:pPr>
            <w:r>
              <w:rPr>
                <w:b/>
                <w:bCs/>
                <w:sz w:val="20"/>
                <w:szCs w:val="20"/>
              </w:rPr>
              <w:t xml:space="preserve">Wskaźnik</w:t>
            </w:r>
          </w:p>
        </w:tc>
        <w:tc>
          <w:tcPr>
            <w:tcW w:type="dxa" w:w="3085"/>
            <w:shd w:fill="D9E2F3" w:val="clear"/>
            <w:tcMar>
              <w:top w:type="dxa" w:w="60"/>
              <w:left w:type="dxa" w:w="80"/>
              <w:bottom w:type="dxa" w:w="60"/>
              <w:right w:type="dxa" w:w="80"/>
            </w:tcMar>
          </w:tcPr>
          <w:p>
            <w:pPr>
              <w:spacing w:after="0" w:line="240"/>
              <w:jc w:val="center"/>
            </w:pPr>
            <w:r>
              <w:rPr>
                <w:b/>
                <w:bCs/>
                <w:sz w:val="20"/>
                <w:szCs w:val="20"/>
              </w:rPr>
              <w:t xml:space="preserve">Jednostka na oleju napędowym</w:t>
            </w:r>
          </w:p>
        </w:tc>
        <w:tc>
          <w:tcPr>
            <w:tcW w:type="dxa" w:w="3085"/>
            <w:shd w:fill="D9E2F3" w:val="clear"/>
            <w:tcMar>
              <w:top w:type="dxa" w:w="60"/>
              <w:left w:type="dxa" w:w="80"/>
              <w:bottom w:type="dxa" w:w="60"/>
              <w:right w:type="dxa" w:w="80"/>
            </w:tcMar>
          </w:tcPr>
          <w:p>
            <w:pPr>
              <w:spacing w:after="0" w:line="240"/>
              <w:jc w:val="center"/>
            </w:pPr>
            <w:r>
              <w:rPr>
                <w:b/>
                <w:bCs/>
                <w:sz w:val="20"/>
                <w:szCs w:val="20"/>
              </w:rPr>
              <w:t xml:space="preserve">Jednostka gazowa 2G Aura 404</w:t>
            </w:r>
          </w:p>
        </w:tc>
      </w:tr>
      <w:tr>
        <w:trPr>
          <w:tblHeader w:val="false"/>
        </w:trPr>
        <w:tc>
          <w:tcPr>
            <w:tcW w:type="dxa" w:w="2903"/>
            <w:shd w:fill="FFF2CC" w:val="clear"/>
            <w:tcMar>
              <w:top w:type="dxa" w:w="60"/>
              <w:left w:type="dxa" w:w="80"/>
              <w:bottom w:type="dxa" w:w="60"/>
              <w:right w:type="dxa" w:w="80"/>
            </w:tcMar>
          </w:tcPr>
          <w:p>
            <w:pPr>
              <w:spacing w:after="0" w:line="240"/>
              <w:jc w:val="left"/>
            </w:pPr>
            <w:r>
              <w:rPr>
                <w:b/>
                <w:bCs/>
                <w:sz w:val="20"/>
                <w:szCs w:val="20"/>
              </w:rPr>
              <w:t xml:space="preserve">Wybrana przez optymalizator</w:t>
            </w:r>
          </w:p>
        </w:tc>
        <w:tc>
          <w:tcPr>
            <w:tcW w:type="dxa" w:w="3085"/>
            <w:shd w:fill="FFF2CC" w:val="clear"/>
            <w:tcMar>
              <w:top w:type="dxa" w:w="60"/>
              <w:left w:type="dxa" w:w="80"/>
              <w:bottom w:type="dxa" w:w="60"/>
              <w:right w:type="dxa" w:w="80"/>
            </w:tcMar>
          </w:tcPr>
          <w:p>
            <w:pPr>
              <w:spacing w:after="0" w:line="240"/>
              <w:jc w:val="center"/>
            </w:pPr>
            <w:r>
              <w:rPr>
                <w:sz w:val="20"/>
                <w:szCs w:val="20"/>
              </w:rPr>
              <w:t xml:space="preserve">NIE — 0 h pracy</w:t>
            </w:r>
          </w:p>
        </w:tc>
        <w:tc>
          <w:tcPr>
            <w:tcW w:type="dxa" w:w="3085"/>
            <w:shd w:fill="FFF2CC" w:val="clear"/>
            <w:tcMar>
              <w:top w:type="dxa" w:w="60"/>
              <w:left w:type="dxa" w:w="80"/>
              <w:bottom w:type="dxa" w:w="60"/>
              <w:right w:type="dxa" w:w="80"/>
            </w:tcMar>
          </w:tcPr>
          <w:p>
            <w:pPr>
              <w:spacing w:after="0" w:line="240"/>
              <w:jc w:val="center"/>
            </w:pPr>
            <w:r>
              <w:rPr>
                <w:sz w:val="20"/>
                <w:szCs w:val="20"/>
              </w:rPr>
              <w:t xml:space="preserve">TAK</w:t>
            </w:r>
          </w:p>
        </w:tc>
      </w:tr>
      <w:tr>
        <w:trPr>
          <w:tblHeader w:val="false"/>
        </w:trPr>
        <w:tc>
          <w:tcPr>
            <w:tcW w:type="dxa" w:w="2903"/>
            <w:tcMar>
              <w:top w:type="dxa" w:w="60"/>
              <w:left w:type="dxa" w:w="80"/>
              <w:bottom w:type="dxa" w:w="60"/>
              <w:right w:type="dxa" w:w="80"/>
            </w:tcMar>
          </w:tcPr>
          <w:p>
            <w:pPr>
              <w:spacing w:after="0" w:line="240"/>
              <w:jc w:val="left"/>
            </w:pPr>
            <w:r>
              <w:rPr>
                <w:sz w:val="20"/>
                <w:szCs w:val="20"/>
              </w:rPr>
              <w:t xml:space="preserve">Godziny pracy w roku</w:t>
            </w:r>
          </w:p>
        </w:tc>
        <w:tc>
          <w:tcPr>
            <w:tcW w:type="dxa" w:w="3085"/>
            <w:tcMar>
              <w:top w:type="dxa" w:w="60"/>
              <w:left w:type="dxa" w:w="80"/>
              <w:bottom w:type="dxa" w:w="60"/>
              <w:right w:type="dxa" w:w="80"/>
            </w:tcMar>
          </w:tcPr>
          <w:p>
            <w:pPr>
              <w:spacing w:after="0" w:line="240"/>
              <w:jc w:val="center"/>
            </w:pPr>
            <w:r>
              <w:rPr>
                <w:sz w:val="20"/>
                <w:szCs w:val="20"/>
              </w:rPr>
              <w:t xml:space="preserve">0</w:t>
            </w:r>
          </w:p>
        </w:tc>
        <w:tc>
          <w:tcPr>
            <w:tcW w:type="dxa" w:w="3085"/>
            <w:tcMar>
              <w:top w:type="dxa" w:w="60"/>
              <w:left w:type="dxa" w:w="80"/>
              <w:bottom w:type="dxa" w:w="60"/>
              <w:right w:type="dxa" w:w="80"/>
            </w:tcMar>
          </w:tcPr>
          <w:p>
            <w:pPr>
              <w:spacing w:after="0" w:line="240"/>
              <w:jc w:val="center"/>
            </w:pPr>
            <w:r>
              <w:rPr>
                <w:sz w:val="20"/>
                <w:szCs w:val="20"/>
              </w:rPr>
              <w:t xml:space="preserve">7 112 (81% roku)</w:t>
            </w:r>
          </w:p>
        </w:tc>
      </w:tr>
      <w:tr>
        <w:trPr>
          <w:tblHeader w:val="false"/>
        </w:trPr>
        <w:tc>
          <w:tcPr>
            <w:tcW w:type="dxa" w:w="2903"/>
            <w:tcMar>
              <w:top w:type="dxa" w:w="60"/>
              <w:left w:type="dxa" w:w="80"/>
              <w:bottom w:type="dxa" w:w="60"/>
              <w:right w:type="dxa" w:w="80"/>
            </w:tcMar>
          </w:tcPr>
          <w:p>
            <w:pPr>
              <w:spacing w:after="0" w:line="240"/>
              <w:jc w:val="left"/>
            </w:pPr>
            <w:r>
              <w:rPr>
                <w:sz w:val="20"/>
                <w:szCs w:val="20"/>
              </w:rPr>
              <w:t xml:space="preserve">Produkcja energii</w:t>
            </w:r>
          </w:p>
        </w:tc>
        <w:tc>
          <w:tcPr>
            <w:tcW w:type="dxa" w:w="3085"/>
            <w:tcMar>
              <w:top w:type="dxa" w:w="60"/>
              <w:left w:type="dxa" w:w="80"/>
              <w:bottom w:type="dxa" w:w="60"/>
              <w:right w:type="dxa" w:w="80"/>
            </w:tcMar>
          </w:tcPr>
          <w:p>
            <w:pPr>
              <w:spacing w:after="0" w:line="240"/>
              <w:jc w:val="center"/>
            </w:pPr>
            <w:r>
              <w:rPr>
                <w:sz w:val="20"/>
                <w:szCs w:val="20"/>
              </w:rPr>
              <w:t xml:space="preserve">0 kWh</w:t>
            </w:r>
          </w:p>
        </w:tc>
        <w:tc>
          <w:tcPr>
            <w:tcW w:type="dxa" w:w="3085"/>
            <w:tcMar>
              <w:top w:type="dxa" w:w="60"/>
              <w:left w:type="dxa" w:w="80"/>
              <w:bottom w:type="dxa" w:w="60"/>
              <w:right w:type="dxa" w:w="80"/>
            </w:tcMar>
          </w:tcPr>
          <w:p>
            <w:pPr>
              <w:spacing w:after="0" w:line="240"/>
              <w:jc w:val="center"/>
            </w:pPr>
            <w:r>
              <w:rPr>
                <w:sz w:val="20"/>
                <w:szCs w:val="20"/>
              </w:rPr>
              <w:t xml:space="preserve">662 876 kWh/rok</w:t>
            </w:r>
          </w:p>
        </w:tc>
      </w:tr>
      <w:tr>
        <w:trPr>
          <w:tblHeader w:val="false"/>
        </w:trPr>
        <w:tc>
          <w:tcPr>
            <w:tcW w:type="dxa" w:w="2903"/>
            <w:tcMar>
              <w:top w:type="dxa" w:w="60"/>
              <w:left w:type="dxa" w:w="80"/>
              <w:bottom w:type="dxa" w:w="60"/>
              <w:right w:type="dxa" w:w="80"/>
            </w:tcMar>
          </w:tcPr>
          <w:p>
            <w:pPr>
              <w:spacing w:after="0" w:line="240"/>
              <w:jc w:val="left"/>
            </w:pPr>
            <w:r>
              <w:rPr>
                <w:sz w:val="20"/>
                <w:szCs w:val="20"/>
              </w:rPr>
              <w:t xml:space="preserve">Zużycie paliwa</w:t>
            </w:r>
          </w:p>
        </w:tc>
        <w:tc>
          <w:tcPr>
            <w:tcW w:type="dxa" w:w="3085"/>
            <w:tcMar>
              <w:top w:type="dxa" w:w="60"/>
              <w:left w:type="dxa" w:w="80"/>
              <w:bottom w:type="dxa" w:w="60"/>
              <w:right w:type="dxa" w:w="80"/>
            </w:tcMar>
          </w:tcPr>
          <w:p>
            <w:pPr>
              <w:spacing w:after="0" w:line="240"/>
              <w:jc w:val="center"/>
            </w:pPr>
            <w:r>
              <w:rPr>
                <w:sz w:val="20"/>
                <w:szCs w:val="20"/>
              </w:rPr>
              <w:t xml:space="preserve">—</w:t>
            </w:r>
          </w:p>
        </w:tc>
        <w:tc>
          <w:tcPr>
            <w:tcW w:type="dxa" w:w="3085"/>
            <w:tcMar>
              <w:top w:type="dxa" w:w="60"/>
              <w:left w:type="dxa" w:w="80"/>
              <w:bottom w:type="dxa" w:w="60"/>
              <w:right w:type="dxa" w:w="80"/>
            </w:tcMar>
          </w:tcPr>
          <w:p>
            <w:pPr>
              <w:spacing w:after="0" w:line="240"/>
              <w:jc w:val="center"/>
            </w:pPr>
            <w:r>
              <w:rPr>
                <w:sz w:val="20"/>
                <w:szCs w:val="20"/>
              </w:rPr>
              <w:t xml:space="preserve">193 533 m³ gazu</w:t>
            </w:r>
          </w:p>
        </w:tc>
      </w:tr>
      <w:tr>
        <w:trPr>
          <w:tblHeader w:val="false"/>
        </w:trPr>
        <w:tc>
          <w:tcPr>
            <w:tcW w:type="dxa" w:w="2903"/>
            <w:tcMar>
              <w:top w:type="dxa" w:w="60"/>
              <w:left w:type="dxa" w:w="80"/>
              <w:bottom w:type="dxa" w:w="60"/>
              <w:right w:type="dxa" w:w="80"/>
            </w:tcMar>
          </w:tcPr>
          <w:p>
            <w:pPr>
              <w:spacing w:after="0" w:line="240"/>
              <w:jc w:val="left"/>
            </w:pPr>
            <w:r>
              <w:rPr>
                <w:sz w:val="20"/>
                <w:szCs w:val="20"/>
              </w:rPr>
              <w:t xml:space="preserve">Cena paliwa</w:t>
            </w:r>
          </w:p>
        </w:tc>
        <w:tc>
          <w:tcPr>
            <w:tcW w:type="dxa" w:w="3085"/>
            <w:tcMar>
              <w:top w:type="dxa" w:w="60"/>
              <w:left w:type="dxa" w:w="80"/>
              <w:bottom w:type="dxa" w:w="60"/>
              <w:right w:type="dxa" w:w="80"/>
            </w:tcMar>
          </w:tcPr>
          <w:p>
            <w:pPr>
              <w:spacing w:after="0" w:line="240"/>
              <w:jc w:val="center"/>
            </w:pPr>
            <w:r>
              <w:rPr>
                <w:sz w:val="20"/>
                <w:szCs w:val="20"/>
              </w:rPr>
              <w:t xml:space="preserve">1,55 $/l</w:t>
            </w:r>
          </w:p>
        </w:tc>
        <w:tc>
          <w:tcPr>
            <w:tcW w:type="dxa" w:w="3085"/>
            <w:tcMar>
              <w:top w:type="dxa" w:w="60"/>
              <w:left w:type="dxa" w:w="80"/>
              <w:bottom w:type="dxa" w:w="60"/>
              <w:right w:type="dxa" w:w="80"/>
            </w:tcMar>
          </w:tcPr>
          <w:p>
            <w:pPr>
              <w:spacing w:after="0" w:line="240"/>
              <w:jc w:val="center"/>
            </w:pPr>
            <w:r>
              <w:rPr>
                <w:sz w:val="20"/>
                <w:szCs w:val="20"/>
              </w:rPr>
              <w:t xml:space="preserve">0,65 $/m³</w:t>
            </w:r>
          </w:p>
        </w:tc>
      </w:tr>
    </w:tbl>
    <w:p>
      <w:pPr>
        <w:spacing w:after="200" w:before="80" w:line="240"/>
        <w:jc w:val="center"/>
      </w:pPr>
      <w:r>
        <w:rPr>
          <w:i/>
          <w:iCs/>
          <w:sz w:val="20"/>
          <w:szCs w:val="20"/>
        </w:rPr>
        <w:t xml:space="preserve">Tabela 18. Wpływ rodzaju paliwa na dysponowanie jednostką kogeneracyjną</w:t>
      </w:r>
    </w:p>
    <w:p>
      <w:pPr>
        <w:spacing w:after="120" w:before="0" w:line="360"/>
        <w:ind w:firstLine="566"/>
        <w:jc w:val="both"/>
      </w:pPr>
      <w:r>
        <w:rPr>
          <w:sz w:val="24"/>
          <w:szCs w:val="24"/>
        </w:rPr>
        <w:t xml:space="preserve">Przy zasilaniu olejem napędowym koszt wytworzenia energii przewyższał cenę zakupu z sieci połączoną z produkcją ciepła w kotle gazowym, wskutek czego optymalizator nie uruchamiał jednostki w żadnej godzinie roku. Zmiana paliwa na gaz ziemny odwraca tę relację.</w:t>
      </w:r>
    </w:p>
    <w:p>
      <w:pPr>
        <w:pStyle w:val="Heading1"/>
        <w:spacing w:after="240" w:before="240" w:line="360"/>
      </w:pPr>
      <w:r>
        <w:rPr>
          <w:b/>
          <w:bCs/>
          <w:sz w:val="28"/>
          <w:szCs w:val="28"/>
        </w:rPr>
        <w:t xml:space="preserve">6. Wnioski</w:t>
      </w:r>
    </w:p>
    <w:p>
      <w:pPr>
        <w:pStyle w:val="Heading2"/>
        <w:spacing w:after="180" w:before="240" w:line="360"/>
      </w:pPr>
      <w:r>
        <w:rPr>
          <w:b/>
          <w:bCs/>
          <w:sz w:val="28"/>
          <w:szCs w:val="28"/>
        </w:rPr>
        <w:t xml:space="preserve">6.1. Wnioski dotyczące czasu autonomii</w:t>
      </w:r>
    </w:p>
    <w:p>
      <w:pPr>
        <w:spacing w:after="120" w:before="0" w:line="360"/>
        <w:ind w:firstLine="566"/>
        <w:jc w:val="both"/>
      </w:pPr>
      <w:r>
        <w:rPr>
          <w:sz w:val="24"/>
          <w:szCs w:val="24"/>
        </w:rPr>
        <w:t xml:space="preserve">Układ pozbawiony źródła rezerwowego traci zasilanie natychmiast po zaniku napięcia sieciowego. Wariant niedopuszczalny dla obiektu szpitalnego.</w:t>
      </w:r>
    </w:p>
    <w:p>
      <w:pPr>
        <w:spacing w:after="120" w:before="0" w:line="360"/>
        <w:ind w:firstLine="566"/>
        <w:jc w:val="both"/>
      </w:pPr>
      <w:r>
        <w:rPr>
          <w:sz w:val="24"/>
          <w:szCs w:val="24"/>
        </w:rPr>
        <w:t xml:space="preserve">Magazyn bateryjny w skali możliwej do zastosowania w obiekcie tej wielkości zapewnia autonomię rzędu jednej godziny przy pełnym obciążeniu. Jego właściwą rolą jest podtrzymanie odbiorów klasy 0,5 s do czasu uruchomienia źródła sterowalnego, nie zaś zasilanie długoterminowe. Osiągnięcie autonomii 72-godzinnej wymagałoby pojemności przekraczającej 5 700 kWh.</w:t>
      </w:r>
    </w:p>
    <w:p>
      <w:pPr>
        <w:spacing w:after="120" w:before="0" w:line="360"/>
        <w:ind w:firstLine="566"/>
        <w:jc w:val="both"/>
      </w:pPr>
      <w:r>
        <w:rPr>
          <w:sz w:val="24"/>
          <w:szCs w:val="24"/>
        </w:rPr>
        <w:t xml:space="preserve">Agregat prądotwórczy zapewnia od 44,5 do 113,1 godziny autonomii w zależności od trybu pracy. Ograniczeniem jest zapas paliwa, nie zaś parametry techniczne — pokrycie pełnych 72 godzin przy pełnym obciążeniu wymaga zbiornika o pojemności co najmniej 2 430 litrów.</w:t>
      </w:r>
    </w:p>
    <w:p>
      <w:pPr>
        <w:spacing w:after="120" w:before="0" w:line="360"/>
        <w:ind w:firstLine="566"/>
        <w:jc w:val="both"/>
      </w:pPr>
      <w:r>
        <w:rPr>
          <w:sz w:val="24"/>
          <w:szCs w:val="24"/>
        </w:rPr>
        <w:t xml:space="preserve">Kogeneracja gazowa zapewnia autonomię nieograniczoną w trybie krytycznym, ponieważ paliwo dostarczane jest siecią podziemną, niezależną od transportu drogowego.</w:t>
      </w:r>
    </w:p>
    <w:p>
      <w:pPr>
        <w:pStyle w:val="Heading2"/>
        <w:spacing w:after="180" w:before="240" w:line="360"/>
      </w:pPr>
      <w:r>
        <w:rPr>
          <w:b/>
          <w:bCs/>
          <w:sz w:val="28"/>
          <w:szCs w:val="28"/>
        </w:rPr>
        <w:t xml:space="preserve">6.2. Wnioski metodyczne</w:t>
      </w:r>
    </w:p>
    <w:p>
      <w:pPr>
        <w:spacing w:after="120" w:before="0" w:line="360"/>
        <w:ind w:firstLine="566"/>
        <w:jc w:val="both"/>
      </w:pPr>
      <w:r>
        <w:rPr>
          <w:sz w:val="24"/>
          <w:szCs w:val="24"/>
        </w:rPr>
        <w:t xml:space="preserve">Kryterium najniższego kosztu bieżącego netto prowadzi do rozwiązania niedopuszczalnego. We wszystkich wariantach awaryjnych konfiguracją o najniższym NPC pozostaje układ pozbawiony źródła rezerwowego — ten sam, który generuje tysiące kilowatogodzin energii niedostarczonej. Optymalizator uznaje niedostarczenie energii do szpitala za rozwiązanie tańsze niż zakup źródła rezerwowego. W ocenie wielokryterialnej energia niedostarczona musi zatem stanowić ograniczenie twarde, nie zaś składnik funkcji celu.</w:t>
      </w:r>
    </w:p>
    <w:p>
      <w:pPr>
        <w:spacing w:after="120" w:before="0" w:line="360"/>
        <w:ind w:firstLine="566"/>
        <w:jc w:val="both"/>
      </w:pPr>
      <w:r>
        <w:rPr>
          <w:sz w:val="24"/>
          <w:szCs w:val="24"/>
        </w:rPr>
        <w:t xml:space="preserve">Ograniczenie przestrzenne mocy instalacji fotowoltaicznej jest warunkiem wiarygodności wyników. Bez niego optymalizator wskazuje konfigurację wymagającą powierzchni dachu pięciokrotnie większej od dostępnej.</w:t>
      </w:r>
    </w:p>
    <w:p>
      <w:pPr>
        <w:spacing w:after="120" w:before="0" w:line="360"/>
        <w:ind w:firstLine="566"/>
        <w:jc w:val="both"/>
      </w:pPr>
      <w:r>
        <w:rPr>
          <w:sz w:val="24"/>
          <w:szCs w:val="24"/>
        </w:rPr>
        <w:t xml:space="preserve">Profil obciążenia musi zostać opracowany indywidualnie. Profil syntetyczny generowany przez bibliotekę wbudowaną zawyża moc szczytową 3,2-krotnie, przyjmując charakterystykę budynku mieszkalnego (współczynnik obciążenia 0,22 wobec 0,715 właściwego dla szpitala).</w:t>
      </w:r>
    </w:p>
    <w:p>
      <w:pPr>
        <w:spacing w:after="120" w:before="0" w:line="360"/>
        <w:ind w:firstLine="566"/>
        <w:jc w:val="both"/>
      </w:pPr>
      <w:r>
        <w:rPr>
          <w:sz w:val="24"/>
          <w:szCs w:val="24"/>
        </w:rPr>
        <w:t xml:space="preserve">Sezonowość zasobu słonecznego wyklucza autonomię opartą na fotowoltaice. Stosunek napromieniowania majowego do grudniowego wynoszący 8,6 : 1 oznacza, że w warunkach polskich instalacja PV nie może stanowić podstawy zasilania awaryjnego w okresie zimowym.</w:t>
      </w:r>
    </w:p>
    <w:p>
      <w:r>
        <w:br w:type="page"/>
      </w:r>
    </w:p>
    <w:p>
      <w:pPr>
        <w:pStyle w:val="Heading1"/>
        <w:spacing w:after="240" w:before="240" w:line="360"/>
      </w:pPr>
      <w:r>
        <w:rPr>
          <w:b/>
          <w:bCs/>
          <w:sz w:val="28"/>
          <w:szCs w:val="28"/>
        </w:rPr>
        <w:t xml:space="preserve">7. Zadania przed obliczeniami właściwymi</w:t>
      </w:r>
    </w:p>
    <w:tbl>
      <w:tblPr>
        <w:tblW w:type="dxa" w:w="9073"/>
        <w:tblBorders>
          <w:top w:val="single" w:color="auto" w:sz="4"/>
          <w:left w:val="single" w:color="auto" w:sz="4"/>
          <w:bottom w:val="single" w:color="auto" w:sz="4"/>
          <w:right w:val="single" w:color="auto" w:sz="4"/>
          <w:insideH w:val="single" w:color="auto" w:sz="4"/>
          <w:insideV w:val="single" w:color="auto" w:sz="4"/>
        </w:tblBorders>
      </w:tblPr>
      <w:tblGrid>
        <w:gridCol w:w="5262"/>
        <w:gridCol w:w="3811"/>
      </w:tblGrid>
      <w:tr>
        <w:trPr>
          <w:tblHeader/>
        </w:trPr>
        <w:tc>
          <w:tcPr>
            <w:tcW w:type="dxa" w:w="5262"/>
            <w:shd w:fill="D9E2F3" w:val="clear"/>
            <w:tcMar>
              <w:top w:type="dxa" w:w="60"/>
              <w:left w:type="dxa" w:w="80"/>
              <w:bottom w:type="dxa" w:w="60"/>
              <w:right w:type="dxa" w:w="80"/>
            </w:tcMar>
          </w:tcPr>
          <w:p>
            <w:pPr>
              <w:spacing w:after="0" w:line="240"/>
              <w:jc w:val="left"/>
            </w:pPr>
            <w:r>
              <w:rPr>
                <w:b/>
                <w:bCs/>
                <w:sz w:val="20"/>
                <w:szCs w:val="20"/>
              </w:rPr>
              <w:t xml:space="preserve">Zadanie</w:t>
            </w:r>
          </w:p>
        </w:tc>
        <w:tc>
          <w:tcPr>
            <w:tcW w:type="dxa" w:w="3811"/>
            <w:shd w:fill="D9E2F3" w:val="clear"/>
            <w:tcMar>
              <w:top w:type="dxa" w:w="60"/>
              <w:left w:type="dxa" w:w="80"/>
              <w:bottom w:type="dxa" w:w="60"/>
              <w:right w:type="dxa" w:w="80"/>
            </w:tcMar>
          </w:tcPr>
          <w:p>
            <w:pPr>
              <w:spacing w:after="0" w:line="240"/>
              <w:jc w:val="center"/>
            </w:pPr>
            <w:r>
              <w:rPr>
                <w:b/>
                <w:bCs/>
                <w:sz w:val="20"/>
                <w:szCs w:val="20"/>
              </w:rPr>
              <w:t xml:space="preserve">Wpływ na wynik</w:t>
            </w:r>
          </w:p>
        </w:tc>
      </w:tr>
      <w:tr>
        <w:trPr>
          <w:tblHeader w:val="false"/>
        </w:trPr>
        <w:tc>
          <w:tcPr>
            <w:tcW w:type="dxa" w:w="5262"/>
            <w:tcMar>
              <w:top w:type="dxa" w:w="60"/>
              <w:left w:type="dxa" w:w="80"/>
              <w:bottom w:type="dxa" w:w="60"/>
              <w:right w:type="dxa" w:w="80"/>
            </w:tcMar>
          </w:tcPr>
          <w:p>
            <w:pPr>
              <w:spacing w:after="0" w:line="240"/>
              <w:jc w:val="left"/>
            </w:pPr>
            <w:r>
              <w:rPr>
                <w:sz w:val="20"/>
                <w:szCs w:val="20"/>
              </w:rPr>
              <w:t xml:space="preserve">Wybór obiektu referencyjnego i pozyskanie rzeczywistych profili obciążenia</w:t>
            </w:r>
          </w:p>
        </w:tc>
        <w:tc>
          <w:tcPr>
            <w:tcW w:type="dxa" w:w="3811"/>
            <w:tcMar>
              <w:top w:type="dxa" w:w="60"/>
              <w:left w:type="dxa" w:w="80"/>
              <w:bottom w:type="dxa" w:w="60"/>
              <w:right w:type="dxa" w:w="80"/>
            </w:tcMar>
          </w:tcPr>
          <w:p>
            <w:pPr>
              <w:spacing w:after="0" w:line="240"/>
              <w:jc w:val="center"/>
            </w:pPr>
            <w:r>
              <w:rPr>
                <w:sz w:val="20"/>
                <w:szCs w:val="20"/>
              </w:rPr>
              <w:t xml:space="preserve">Weryfikacja wszystkich czasów autonomii</w:t>
            </w:r>
          </w:p>
        </w:tc>
      </w:tr>
      <w:tr>
        <w:trPr>
          <w:tblHeader w:val="false"/>
        </w:trPr>
        <w:tc>
          <w:tcPr>
            <w:tcW w:type="dxa" w:w="5262"/>
            <w:tcMar>
              <w:top w:type="dxa" w:w="60"/>
              <w:left w:type="dxa" w:w="80"/>
              <w:bottom w:type="dxa" w:w="60"/>
              <w:right w:type="dxa" w:w="80"/>
            </w:tcMar>
          </w:tcPr>
          <w:p>
            <w:pPr>
              <w:spacing w:after="0" w:line="240"/>
              <w:jc w:val="left"/>
            </w:pPr>
            <w:r>
              <w:rPr>
                <w:sz w:val="20"/>
                <w:szCs w:val="20"/>
              </w:rPr>
              <w:t xml:space="preserve">Ustalenie rzeczywistej pojemności zbiornika paliwa</w:t>
            </w:r>
          </w:p>
        </w:tc>
        <w:tc>
          <w:tcPr>
            <w:tcW w:type="dxa" w:w="3811"/>
            <w:tcMar>
              <w:top w:type="dxa" w:w="60"/>
              <w:left w:type="dxa" w:w="80"/>
              <w:bottom w:type="dxa" w:w="60"/>
              <w:right w:type="dxa" w:w="80"/>
            </w:tcMar>
          </w:tcPr>
          <w:p>
            <w:pPr>
              <w:spacing w:after="0" w:line="240"/>
              <w:jc w:val="center"/>
            </w:pPr>
            <w:r>
              <w:rPr>
                <w:sz w:val="20"/>
                <w:szCs w:val="20"/>
              </w:rPr>
              <w:t xml:space="preserve">Precyzyjne wyznaczenie autonomii K1</w:t>
            </w:r>
          </w:p>
        </w:tc>
      </w:tr>
      <w:tr>
        <w:trPr>
          <w:tblHeader w:val="false"/>
        </w:trPr>
        <w:tc>
          <w:tcPr>
            <w:tcW w:type="dxa" w:w="5262"/>
            <w:tcMar>
              <w:top w:type="dxa" w:w="60"/>
              <w:left w:type="dxa" w:w="80"/>
              <w:bottom w:type="dxa" w:w="60"/>
              <w:right w:type="dxa" w:w="80"/>
            </w:tcMar>
          </w:tcPr>
          <w:p>
            <w:pPr>
              <w:spacing w:after="0" w:line="240"/>
              <w:jc w:val="left"/>
            </w:pPr>
            <w:r>
              <w:rPr>
                <w:sz w:val="20"/>
                <w:szCs w:val="20"/>
              </w:rPr>
              <w:t xml:space="preserve">Identyfikacja rzeczywistej mocy odbiorów krytycznych</w:t>
            </w:r>
          </w:p>
        </w:tc>
        <w:tc>
          <w:tcPr>
            <w:tcW w:type="dxa" w:w="3811"/>
            <w:tcMar>
              <w:top w:type="dxa" w:w="60"/>
              <w:left w:type="dxa" w:w="80"/>
              <w:bottom w:type="dxa" w:w="60"/>
              <w:right w:type="dxa" w:w="80"/>
            </w:tcMar>
          </w:tcPr>
          <w:p>
            <w:pPr>
              <w:spacing w:after="0" w:line="240"/>
              <w:jc w:val="center"/>
            </w:pPr>
            <w:r>
              <w:rPr>
                <w:sz w:val="20"/>
                <w:szCs w:val="20"/>
              </w:rPr>
              <w:t xml:space="preserve">Weryfikacja trybu awaryjnego</w:t>
            </w:r>
          </w:p>
        </w:tc>
      </w:tr>
      <w:tr>
        <w:trPr>
          <w:tblHeader w:val="false"/>
        </w:trPr>
        <w:tc>
          <w:tcPr>
            <w:tcW w:type="dxa" w:w="5262"/>
            <w:tcMar>
              <w:top w:type="dxa" w:w="60"/>
              <w:left w:type="dxa" w:w="80"/>
              <w:bottom w:type="dxa" w:w="60"/>
              <w:right w:type="dxa" w:w="80"/>
            </w:tcMar>
          </w:tcPr>
          <w:p>
            <w:pPr>
              <w:spacing w:after="0" w:line="240"/>
              <w:jc w:val="left"/>
            </w:pPr>
            <w:r>
              <w:rPr>
                <w:sz w:val="20"/>
                <w:szCs w:val="20"/>
              </w:rPr>
              <w:t xml:space="preserve">Dobór pojemności BESS jako bufora szczytowego CHP</w:t>
            </w:r>
          </w:p>
        </w:tc>
        <w:tc>
          <w:tcPr>
            <w:tcW w:type="dxa" w:w="3811"/>
            <w:tcMar>
              <w:top w:type="dxa" w:w="60"/>
              <w:left w:type="dxa" w:w="80"/>
              <w:bottom w:type="dxa" w:w="60"/>
              <w:right w:type="dxa" w:w="80"/>
            </w:tcMar>
          </w:tcPr>
          <w:p>
            <w:pPr>
              <w:spacing w:after="0" w:line="240"/>
              <w:jc w:val="center"/>
            </w:pPr>
            <w:r>
              <w:rPr>
                <w:sz w:val="20"/>
                <w:szCs w:val="20"/>
              </w:rPr>
              <w:t xml:space="preserve">Eliminacja deficytu 1 046 kWh w K3</w:t>
            </w:r>
          </w:p>
        </w:tc>
      </w:tr>
      <w:tr>
        <w:trPr>
          <w:tblHeader w:val="false"/>
        </w:trPr>
        <w:tc>
          <w:tcPr>
            <w:tcW w:type="dxa" w:w="5262"/>
            <w:tcMar>
              <w:top w:type="dxa" w:w="60"/>
              <w:left w:type="dxa" w:w="80"/>
              <w:bottom w:type="dxa" w:w="60"/>
              <w:right w:type="dxa" w:w="80"/>
            </w:tcMar>
          </w:tcPr>
          <w:p>
            <w:pPr>
              <w:spacing w:after="0" w:line="240"/>
              <w:jc w:val="left"/>
            </w:pPr>
            <w:r>
              <w:rPr>
                <w:sz w:val="20"/>
                <w:szCs w:val="20"/>
              </w:rPr>
              <w:t xml:space="preserve">Powtórzenie analizy dla okresu letniego</w:t>
            </w:r>
          </w:p>
        </w:tc>
        <w:tc>
          <w:tcPr>
            <w:tcW w:type="dxa" w:w="3811"/>
            <w:tcMar>
              <w:top w:type="dxa" w:w="60"/>
              <w:left w:type="dxa" w:w="80"/>
              <w:bottom w:type="dxa" w:w="60"/>
              <w:right w:type="dxa" w:w="80"/>
            </w:tcMar>
          </w:tcPr>
          <w:p>
            <w:pPr>
              <w:spacing w:after="0" w:line="240"/>
              <w:jc w:val="center"/>
            </w:pPr>
            <w:r>
              <w:rPr>
                <w:sz w:val="20"/>
                <w:szCs w:val="20"/>
              </w:rPr>
              <w:t xml:space="preserve">Ocena wkładu PV poza sezonem zimowym</w:t>
            </w:r>
          </w:p>
        </w:tc>
      </w:tr>
    </w:tbl>
    <w:p>
      <w:pPr>
        <w:spacing w:after="200" w:before="80" w:line="240"/>
        <w:jc w:val="center"/>
      </w:pPr>
      <w:r>
        <w:rPr>
          <w:i/>
          <w:iCs/>
          <w:sz w:val="20"/>
          <w:szCs w:val="20"/>
        </w:rPr>
        <w:t xml:space="preserve">Tabela 19. Zadania warunkujące przejście do obliczeń właściwych</w:t>
      </w:r>
    </w:p>
    <w:sectPr>
      <w:footerReference w:type="default" r:id="rId7"/>
      <w:pgSz w:w="11906" w:h="16838" w:orient="portrait"/>
      <w:pgMar w:top="1417" w:right="1133" w:bottom="1417"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Times New Roman" w:cs="Times New Roman" w:eastAsia="Times New Roman" w:hAnsi="Times New Roman"/>
      <w:b/>
      <w:bCs/>
      <w:color w:val="000000"/>
      <w:sz w:val="28"/>
      <w:szCs w:val="28"/>
    </w:rPr>
  </w:style>
  <w:style w:type="paragraph" w:styleId="Heading2">
    <w:name w:val="Heading 2"/>
    <w:basedOn w:val="Normal"/>
    <w:next w:val="Normal"/>
    <w:qFormat/>
    <w:rPr>
      <w:rFonts w:ascii="Times New Roman" w:cs="Times New Roman" w:eastAsia="Times New Roman" w:hAnsi="Times New Roman"/>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5bdfec035b3516ac7512718fe46af1356d3a0e4.png"/><Relationship Id="rId9" Type="http://schemas.openxmlformats.org/officeDocument/2006/relationships/image" Target="media/facf52e5b129ea55cf36007f267bba211a7dea71.png"/><Relationship Id="rId10" Type="http://schemas.openxmlformats.org/officeDocument/2006/relationships/image" Target="media/3c6c3d9952e110d16fd0560df5b508e143618edb.png"/><Relationship Id="rId11" Type="http://schemas.openxmlformats.org/officeDocument/2006/relationships/image" Target="media/2e973ae05d71b9df8acd6cad5f914a948623c23c.png"/><Relationship Id="rId12" Type="http://schemas.openxmlformats.org/officeDocument/2006/relationships/image" Target="media/9e322f053bef9486584251722c351f6939b91098.png"/><Relationship Id="rId13" Type="http://schemas.openxmlformats.org/officeDocument/2006/relationships/image" Target="media/1f6b7d5493b952e3ce11664afb4af85abdc819a0.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2026-08-31T17:48:44.558Z</dcterms:created>
  <dcterms:modified xsi:type="dcterms:W3CDTF">2026-08-31T17:48:44.579Z</dcterms:modified>
</cp:coreProperties>
</file>

<file path=docProps/custom.xml><?xml version="1.0" encoding="utf-8"?>
<Properties xmlns="http://schemas.openxmlformats.org/officeDocument/2006/custom-properties" xmlns:vt="http://schemas.openxmlformats.org/officeDocument/2006/docPropsVTypes"/>
</file>