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sz w:val="24"/>
          <w:szCs w:val="24"/>
        </w:rPr>
        <w:t xml:space="preserve"/>
      </w:r>
    </w:p>
    <w:p>
      <w:pPr>
        <w:spacing w:after="120" w:before="0" w:line="360"/>
        <w:jc w:val="center"/>
      </w:pPr>
      <w:r>
        <w:rPr>
          <w:b/>
          <w:bCs/>
          <w:sz w:val="26"/>
          <w:szCs w:val="26"/>
        </w:rPr>
        <w:t xml:space="preserve">Zachodniopomorski Uniwersytet Technologiczny w Szczecinie</w:t>
      </w:r>
    </w:p>
    <w:p>
      <w:pPr>
        <w:spacing w:after="120" w:before="0" w:line="360"/>
        <w:jc w:val="center"/>
      </w:pPr>
      <w:r>
        <w:rPr>
          <w:sz w:val="24"/>
          <w:szCs w:val="24"/>
        </w:rPr>
        <w:t xml:space="preserve">Wydział Kształtowania Środowiska i Rolnictwa</w:t>
      </w:r>
    </w:p>
    <w:p>
      <w:pPr>
        <w:spacing w:after="900" w:before="0" w:line="360"/>
        <w:jc w:val="center"/>
      </w:pPr>
      <w:r>
        <w:rPr>
          <w:sz w:val="24"/>
          <w:szCs w:val="24"/>
        </w:rPr>
        <w:t xml:space="preserve">Kierunek: Odnawialne Źródła Energii</w:t>
      </w:r>
    </w:p>
    <w:p>
      <w:pPr>
        <w:spacing w:after="200" w:before="0" w:line="360"/>
        <w:jc w:val="center"/>
      </w:pPr>
      <w:r>
        <w:rPr>
          <w:b/>
          <w:bCs/>
          <w:sz w:val="36"/>
          <w:szCs w:val="36"/>
        </w:rPr>
        <w:t xml:space="preserve">RAPORT Z SYMULACJI TESTOWYCH</w:t>
      </w:r>
    </w:p>
    <w:p>
      <w:pPr>
        <w:spacing w:after="120" w:before="0" w:line="360"/>
        <w:jc w:val="center"/>
      </w:pPr>
      <w:r>
        <w:rPr>
          <w:sz w:val="28"/>
          <w:szCs w:val="28"/>
        </w:rPr>
        <w:t xml:space="preserve">Modelowanie architektury systemu energetycznego szpitala</w:t>
      </w:r>
    </w:p>
    <w:p>
      <w:pPr>
        <w:spacing w:after="900" w:before="0" w:line="360"/>
        <w:jc w:val="center"/>
      </w:pPr>
      <w:r>
        <w:rPr>
          <w:sz w:val="28"/>
          <w:szCs w:val="28"/>
        </w:rPr>
        <w:t xml:space="preserve">w środowisku HOMER Pro</w:t>
      </w:r>
    </w:p>
    <w:p>
      <w:pPr>
        <w:spacing w:after="120" w:before="0" w:line="360"/>
        <w:jc w:val="center"/>
      </w:pPr>
      <w:r>
        <w:rPr>
          <w:sz w:val="22"/>
          <w:szCs w:val="22"/>
        </w:rPr>
        <w:t xml:space="preserve">Praca dyplomowa inżynierska:</w:t>
      </w:r>
    </w:p>
    <w:p>
      <w:pPr>
        <w:spacing w:after="1200" w:before="0" w:line="360"/>
        <w:jc w:val="center"/>
      </w:pPr>
      <w:r>
        <w:rPr>
          <w:i/>
          <w:iCs/>
          <w:sz w:val="22"/>
          <w:szCs w:val="22"/>
        </w:rPr>
        <w:t xml:space="preserve">„Projekt i ocena architektury systemu energetycznego szpitala z kogeneracją, OZE oraz magazynami energii w kontekście bezpieczeństwa energetycznego”</w:t>
      </w:r>
    </w:p>
    <w:p>
      <w:pPr>
        <w:spacing w:after="120" w:before="0" w:line="360"/>
        <w:jc w:val="center"/>
      </w:pPr>
      <w:r>
        <w:rPr>
          <w:sz w:val="24"/>
          <w:szCs w:val="24"/>
        </w:rPr>
        <w:t xml:space="preserve">Autor: Hlieb Snitko</w:t>
      </w:r>
    </w:p>
    <w:p>
      <w:pPr>
        <w:spacing w:after="120" w:before="400" w:line="360"/>
        <w:jc w:val="center"/>
      </w:pPr>
      <w:r>
        <w:rPr>
          <w:sz w:val="22"/>
          <w:szCs w:val="22"/>
        </w:rPr>
        <w:t xml:space="preserve">Szczecin, sierpień 2026</w:t>
      </w:r>
    </w:p>
    <w:p>
      <w:r>
        <w:br w:type="page"/>
      </w:r>
    </w:p>
    <w:p>
      <w:pPr>
        <w:pStyle w:val="Heading1"/>
        <w:spacing w:after="240" w:before="240" w:line="360"/>
      </w:pPr>
      <w:r>
        <w:rPr>
          <w:b/>
          <w:bCs/>
          <w:sz w:val="28"/>
          <w:szCs w:val="28"/>
        </w:rPr>
        <w:t xml:space="preserve">Status dokumentu</w:t>
      </w:r>
    </w:p>
    <w:p>
      <w:pPr>
        <w:spacing w:after="120" w:before="0" w:line="360"/>
        <w:ind w:firstLine="566"/>
        <w:jc w:val="both"/>
      </w:pPr>
      <w:r>
        <w:rPr>
          <w:sz w:val="24"/>
          <w:szCs w:val="24"/>
        </w:rPr>
        <w:t xml:space="preserve">Niniejszy raport przedstawia wstępną, weryfikacyjną serię symulacji przeprowadzonych w środowisku HOMER Pro. Obiekt referencyjny nie został jeszcze wybrany, a profile obciążenia mają charakter modelowy — opracowano je na podstawie wskaźników literaturowych, nie zaś pomiarów rzeczywistych.</w:t>
      </w:r>
    </w:p>
    <w:p>
      <w:pPr>
        <w:spacing w:after="120" w:before="0" w:line="360"/>
        <w:ind w:firstLine="566"/>
        <w:jc w:val="both"/>
      </w:pPr>
      <w:r>
        <w:rPr>
          <w:sz w:val="24"/>
          <w:szCs w:val="24"/>
        </w:rPr>
        <w:t xml:space="preserve">Celem serii było sprawdzenie poprawności przyjętej metodyki obliczeniowej, rozpoznanie możliwości narzędzia symulacyjnego oraz identyfikacja pułapek modelowych przed przystąpieniem do obliczeń właściwych. Przedstawione wartości liczbowe nie stanowią wyników końcowych pracy dyplomowej.</w:t>
      </w:r>
    </w:p>
    <w:p>
      <w:pPr>
        <w:spacing w:after="240" w:before="0" w:line="360"/>
        <w:ind w:firstLine="566"/>
        <w:jc w:val="both"/>
      </w:pPr>
      <w:r>
        <w:rPr>
          <w:sz w:val="24"/>
          <w:szCs w:val="24"/>
        </w:rPr>
        <w:t xml:space="preserve">Zasadniczą wartością poznawczą raportu są wnioski metodyczne zawarte w rozdziale 7 — wskazują one na ograniczenia standardowego podejścia optymalizacyjnego w zastosowaniu do obiektów infrastruktury krytycznej.</w:t>
      </w:r>
    </w:p>
    <w:p>
      <w:pPr>
        <w:pStyle w:val="Heading1"/>
        <w:spacing w:after="240" w:before="240" w:line="360"/>
      </w:pPr>
      <w:r>
        <w:rPr>
          <w:b/>
          <w:bCs/>
          <w:sz w:val="28"/>
          <w:szCs w:val="28"/>
        </w:rPr>
        <w:t xml:space="preserve">1. Założenia i dane wejściowe</w:t>
      </w:r>
    </w:p>
    <w:p>
      <w:pPr>
        <w:pStyle w:val="Heading2"/>
        <w:spacing w:after="180" w:before="240" w:line="360"/>
      </w:pPr>
      <w:r>
        <w:rPr>
          <w:b/>
          <w:bCs/>
          <w:sz w:val="28"/>
          <w:szCs w:val="28"/>
        </w:rPr>
        <w:t xml:space="preserve">1.1. Środowisko obliczeniowe i lokalizacja</w:t>
      </w:r>
    </w:p>
    <w:p>
      <w:pPr>
        <w:spacing w:after="120" w:before="0" w:line="360"/>
        <w:ind w:firstLine="566"/>
        <w:jc w:val="both"/>
      </w:pPr>
      <w:r>
        <w:rPr>
          <w:sz w:val="24"/>
          <w:szCs w:val="24"/>
        </w:rPr>
        <w:t xml:space="preserve">Obliczenia wykonano w programie HOMER Pro x64 w wersji 3.18.4. Jako lokalizację modelową przyjęto Szczecin (53°25,7′N, 14°33,2′E). Dane o zasobach środowiskowych pobrano z bazy NASA Prediction of Worldwide Energy Resource, obejmującej średnie miesięczne z okresu 42 lat.</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629"/>
        <w:gridCol w:w="1815"/>
        <w:gridCol w:w="1815"/>
        <w:gridCol w:w="1815"/>
      </w:tblGrid>
      <w:tr>
        <w:trPr>
          <w:tblHeader/>
        </w:trPr>
        <w:tc>
          <w:tcPr>
            <w:tcW w:type="dxa" w:w="3629"/>
            <w:shd w:fill="D9E2F3" w:val="clear"/>
            <w:tcMar>
              <w:top w:type="dxa" w:w="60"/>
              <w:left w:type="dxa" w:w="80"/>
              <w:bottom w:type="dxa" w:w="60"/>
              <w:right w:type="dxa" w:w="80"/>
            </w:tcMar>
          </w:tcPr>
          <w:p>
            <w:pPr>
              <w:spacing w:after="0" w:line="240"/>
              <w:jc w:val="left"/>
            </w:pPr>
            <w:r>
              <w:rPr>
                <w:b/>
                <w:bCs/>
                <w:sz w:val="20"/>
                <w:szCs w:val="20"/>
              </w:rPr>
              <w:t xml:space="preserve">Wielkość</w:t>
            </w:r>
          </w:p>
        </w:tc>
        <w:tc>
          <w:tcPr>
            <w:tcW w:type="dxa" w:w="1815"/>
            <w:shd w:fill="D9E2F3" w:val="clear"/>
            <w:tcMar>
              <w:top w:type="dxa" w:w="60"/>
              <w:left w:type="dxa" w:w="80"/>
              <w:bottom w:type="dxa" w:w="60"/>
              <w:right w:type="dxa" w:w="80"/>
            </w:tcMar>
          </w:tcPr>
          <w:p>
            <w:pPr>
              <w:spacing w:after="0" w:line="240"/>
              <w:jc w:val="center"/>
            </w:pPr>
            <w:r>
              <w:rPr>
                <w:b/>
                <w:bCs/>
                <w:sz w:val="20"/>
                <w:szCs w:val="20"/>
              </w:rPr>
              <w:t xml:space="preserve">Wartość roczna</w:t>
            </w:r>
          </w:p>
        </w:tc>
        <w:tc>
          <w:tcPr>
            <w:tcW w:type="dxa" w:w="1815"/>
            <w:shd w:fill="D9E2F3" w:val="clear"/>
            <w:tcMar>
              <w:top w:type="dxa" w:w="60"/>
              <w:left w:type="dxa" w:w="80"/>
              <w:bottom w:type="dxa" w:w="60"/>
              <w:right w:type="dxa" w:w="80"/>
            </w:tcMar>
          </w:tcPr>
          <w:p>
            <w:pPr>
              <w:spacing w:after="0" w:line="240"/>
              <w:jc w:val="center"/>
            </w:pPr>
            <w:r>
              <w:rPr>
                <w:b/>
                <w:bCs/>
                <w:sz w:val="20"/>
                <w:szCs w:val="20"/>
              </w:rPr>
              <w:t xml:space="preserve">Minimum</w:t>
            </w:r>
          </w:p>
        </w:tc>
        <w:tc>
          <w:tcPr>
            <w:tcW w:type="dxa" w:w="1815"/>
            <w:shd w:fill="D9E2F3" w:val="clear"/>
            <w:tcMar>
              <w:top w:type="dxa" w:w="60"/>
              <w:left w:type="dxa" w:w="80"/>
              <w:bottom w:type="dxa" w:w="60"/>
              <w:right w:type="dxa" w:w="80"/>
            </w:tcMar>
          </w:tcPr>
          <w:p>
            <w:pPr>
              <w:spacing w:after="0" w:line="240"/>
              <w:jc w:val="center"/>
            </w:pPr>
            <w:r>
              <w:rPr>
                <w:b/>
                <w:bCs/>
                <w:sz w:val="20"/>
                <w:szCs w:val="20"/>
              </w:rPr>
              <w:t xml:space="preserve">Maksimum</w:t>
            </w:r>
          </w:p>
        </w:tc>
      </w:tr>
      <w:tr>
        <w:trPr>
          <w:tblHeader w:val="false"/>
        </w:trPr>
        <w:tc>
          <w:tcPr>
            <w:tcW w:type="dxa" w:w="3629"/>
            <w:tcMar>
              <w:top w:type="dxa" w:w="60"/>
              <w:left w:type="dxa" w:w="80"/>
              <w:bottom w:type="dxa" w:w="60"/>
              <w:right w:type="dxa" w:w="80"/>
            </w:tcMar>
          </w:tcPr>
          <w:p>
            <w:pPr>
              <w:spacing w:after="0" w:line="240"/>
              <w:jc w:val="left"/>
            </w:pPr>
            <w:r>
              <w:rPr>
                <w:sz w:val="20"/>
                <w:szCs w:val="20"/>
              </w:rPr>
              <w:t xml:space="preserve">Napromieniowanie GHI [kWh/m²/d]</w:t>
            </w:r>
          </w:p>
        </w:tc>
        <w:tc>
          <w:tcPr>
            <w:tcW w:type="dxa" w:w="1815"/>
            <w:tcMar>
              <w:top w:type="dxa" w:w="60"/>
              <w:left w:type="dxa" w:w="80"/>
              <w:bottom w:type="dxa" w:w="60"/>
              <w:right w:type="dxa" w:w="80"/>
            </w:tcMar>
          </w:tcPr>
          <w:p>
            <w:pPr>
              <w:spacing w:after="0" w:line="240"/>
              <w:jc w:val="center"/>
            </w:pPr>
            <w:r>
              <w:rPr>
                <w:sz w:val="20"/>
                <w:szCs w:val="20"/>
              </w:rPr>
              <w:t xml:space="preserve">2,72</w:t>
            </w:r>
          </w:p>
        </w:tc>
        <w:tc>
          <w:tcPr>
            <w:tcW w:type="dxa" w:w="1815"/>
            <w:tcMar>
              <w:top w:type="dxa" w:w="60"/>
              <w:left w:type="dxa" w:w="80"/>
              <w:bottom w:type="dxa" w:w="60"/>
              <w:right w:type="dxa" w:w="80"/>
            </w:tcMar>
          </w:tcPr>
          <w:p>
            <w:pPr>
              <w:spacing w:after="0" w:line="240"/>
              <w:jc w:val="center"/>
            </w:pPr>
            <w:r>
              <w:rPr>
                <w:sz w:val="20"/>
                <w:szCs w:val="20"/>
              </w:rPr>
              <w:t xml:space="preserve">XII: 0,58</w:t>
            </w:r>
          </w:p>
        </w:tc>
        <w:tc>
          <w:tcPr>
            <w:tcW w:type="dxa" w:w="1815"/>
            <w:tcMar>
              <w:top w:type="dxa" w:w="60"/>
              <w:left w:type="dxa" w:w="80"/>
              <w:bottom w:type="dxa" w:w="60"/>
              <w:right w:type="dxa" w:w="80"/>
            </w:tcMar>
          </w:tcPr>
          <w:p>
            <w:pPr>
              <w:spacing w:after="0" w:line="240"/>
              <w:jc w:val="center"/>
            </w:pPr>
            <w:r>
              <w:rPr>
                <w:sz w:val="20"/>
                <w:szCs w:val="20"/>
              </w:rPr>
              <w:t xml:space="preserve">V: 4,96</w:t>
            </w:r>
          </w:p>
        </w:tc>
      </w:tr>
      <w:tr>
        <w:trPr>
          <w:tblHeader w:val="false"/>
        </w:trPr>
        <w:tc>
          <w:tcPr>
            <w:tcW w:type="dxa" w:w="3629"/>
            <w:tcMar>
              <w:top w:type="dxa" w:w="60"/>
              <w:left w:type="dxa" w:w="80"/>
              <w:bottom w:type="dxa" w:w="60"/>
              <w:right w:type="dxa" w:w="80"/>
            </w:tcMar>
          </w:tcPr>
          <w:p>
            <w:pPr>
              <w:spacing w:after="0" w:line="240"/>
              <w:jc w:val="left"/>
            </w:pPr>
            <w:r>
              <w:rPr>
                <w:sz w:val="20"/>
                <w:szCs w:val="20"/>
              </w:rPr>
              <w:t xml:space="preserve">Temperatura otoczenia [°C]</w:t>
            </w:r>
          </w:p>
        </w:tc>
        <w:tc>
          <w:tcPr>
            <w:tcW w:type="dxa" w:w="1815"/>
            <w:tcMar>
              <w:top w:type="dxa" w:w="60"/>
              <w:left w:type="dxa" w:w="80"/>
              <w:bottom w:type="dxa" w:w="60"/>
              <w:right w:type="dxa" w:w="80"/>
            </w:tcMar>
          </w:tcPr>
          <w:p>
            <w:pPr>
              <w:spacing w:after="0" w:line="240"/>
              <w:jc w:val="center"/>
            </w:pPr>
            <w:r>
              <w:rPr>
                <w:sz w:val="20"/>
                <w:szCs w:val="20"/>
              </w:rPr>
              <w:t xml:space="preserve">8,32</w:t>
            </w:r>
          </w:p>
        </w:tc>
        <w:tc>
          <w:tcPr>
            <w:tcW w:type="dxa" w:w="1815"/>
            <w:tcMar>
              <w:top w:type="dxa" w:w="60"/>
              <w:left w:type="dxa" w:w="80"/>
              <w:bottom w:type="dxa" w:w="60"/>
              <w:right w:type="dxa" w:w="80"/>
            </w:tcMar>
          </w:tcPr>
          <w:p>
            <w:pPr>
              <w:spacing w:after="0" w:line="240"/>
              <w:jc w:val="center"/>
            </w:pPr>
            <w:r>
              <w:rPr>
                <w:sz w:val="20"/>
                <w:szCs w:val="20"/>
              </w:rPr>
              <w:t xml:space="preserve">I: −1,68</w:t>
            </w:r>
          </w:p>
        </w:tc>
        <w:tc>
          <w:tcPr>
            <w:tcW w:type="dxa" w:w="1815"/>
            <w:tcMar>
              <w:top w:type="dxa" w:w="60"/>
              <w:left w:type="dxa" w:w="80"/>
              <w:bottom w:type="dxa" w:w="60"/>
              <w:right w:type="dxa" w:w="80"/>
            </w:tcMar>
          </w:tcPr>
          <w:p>
            <w:pPr>
              <w:spacing w:after="0" w:line="240"/>
              <w:jc w:val="center"/>
            </w:pPr>
            <w:r>
              <w:rPr>
                <w:sz w:val="20"/>
                <w:szCs w:val="20"/>
              </w:rPr>
              <w:t xml:space="preserve">VII: 18,75</w:t>
            </w:r>
          </w:p>
        </w:tc>
      </w:tr>
    </w:tbl>
    <w:p>
      <w:pPr>
        <w:spacing w:after="200" w:before="80" w:line="240"/>
        <w:jc w:val="center"/>
      </w:pPr>
      <w:r>
        <w:rPr>
          <w:i/>
          <w:iCs/>
          <w:sz w:val="20"/>
          <w:szCs w:val="20"/>
        </w:rPr>
        <w:t xml:space="preserve">Tabela 1. Zasoby środowiskowe dla lokalizacji modelowej</w:t>
      </w:r>
    </w:p>
    <w:p>
      <w:pPr>
        <w:spacing w:after="120" w:before="0" w:line="360"/>
        <w:ind w:firstLine="566"/>
        <w:jc w:val="both"/>
      </w:pPr>
      <w:r>
        <w:rPr>
          <w:sz w:val="24"/>
          <w:szCs w:val="24"/>
        </w:rPr>
        <w:t xml:space="preserve">Stosunek napromieniowania majowego do grudniowego wynosi 8,6 : 1. Skrajna sezonowość zasobu stanowi kluczowe uwarunkowanie dla oceny zdolności instalacji fotowoltaicznej do zasilania awaryjnego w okresie zimowym.</w:t>
      </w:r>
    </w:p>
    <w:p>
      <w:pPr>
        <w:pStyle w:val="Heading2"/>
        <w:spacing w:after="180" w:before="240" w:line="360"/>
      </w:pPr>
      <w:r>
        <w:rPr>
          <w:b/>
          <w:bCs/>
          <w:sz w:val="28"/>
          <w:szCs w:val="28"/>
        </w:rPr>
        <w:t xml:space="preserve">1.2. Profile obciążenia</w:t>
      </w:r>
    </w:p>
    <w:p>
      <w:pPr>
        <w:spacing w:after="120" w:before="0" w:line="360"/>
        <w:ind w:firstLine="566"/>
        <w:jc w:val="both"/>
      </w:pPr>
      <w:r>
        <w:rPr>
          <w:sz w:val="24"/>
          <w:szCs w:val="24"/>
        </w:rPr>
        <w:t xml:space="preserve">Opracowano dwa profile godzinowe o rozdzielczości 8760 wartości, wspólne dla wszystkich analizowanych konfiguracji. Przedmiotem różnicowania wariantów jest wyłącznie strona wytwórcza.</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629"/>
        <w:gridCol w:w="2722"/>
        <w:gridCol w:w="2722"/>
      </w:tblGrid>
      <w:tr>
        <w:trPr>
          <w:tblHeader/>
        </w:trPr>
        <w:tc>
          <w:tcPr>
            <w:tcW w:type="dxa" w:w="3629"/>
            <w:shd w:fill="D9E2F3" w:val="clear"/>
            <w:tcMar>
              <w:top w:type="dxa" w:w="60"/>
              <w:left w:type="dxa" w:w="80"/>
              <w:bottom w:type="dxa" w:w="60"/>
              <w:right w:type="dxa" w:w="80"/>
            </w:tcMar>
          </w:tcPr>
          <w:p>
            <w:pPr>
              <w:spacing w:after="0" w:line="240"/>
              <w:jc w:val="left"/>
            </w:pPr>
            <w:r>
              <w:rPr>
                <w:b/>
                <w:bCs/>
                <w:sz w:val="20"/>
                <w:szCs w:val="20"/>
              </w:rPr>
              <w:t xml:space="preserve">Parametr</w:t>
            </w:r>
          </w:p>
        </w:tc>
        <w:tc>
          <w:tcPr>
            <w:tcW w:type="dxa" w:w="2722"/>
            <w:shd w:fill="D9E2F3" w:val="clear"/>
            <w:tcMar>
              <w:top w:type="dxa" w:w="60"/>
              <w:left w:type="dxa" w:w="80"/>
              <w:bottom w:type="dxa" w:w="60"/>
              <w:right w:type="dxa" w:w="80"/>
            </w:tcMar>
          </w:tcPr>
          <w:p>
            <w:pPr>
              <w:spacing w:after="0" w:line="240"/>
              <w:jc w:val="center"/>
            </w:pPr>
            <w:r>
              <w:rPr>
                <w:b/>
                <w:bCs/>
                <w:sz w:val="20"/>
                <w:szCs w:val="20"/>
              </w:rPr>
              <w:t xml:space="preserve">Profil elektryczny</w:t>
            </w:r>
          </w:p>
        </w:tc>
        <w:tc>
          <w:tcPr>
            <w:tcW w:type="dxa" w:w="2722"/>
            <w:shd w:fill="D9E2F3" w:val="clear"/>
            <w:tcMar>
              <w:top w:type="dxa" w:w="60"/>
              <w:left w:type="dxa" w:w="80"/>
              <w:bottom w:type="dxa" w:w="60"/>
              <w:right w:type="dxa" w:w="80"/>
            </w:tcMar>
          </w:tcPr>
          <w:p>
            <w:pPr>
              <w:spacing w:after="0" w:line="240"/>
              <w:jc w:val="center"/>
            </w:pPr>
            <w:r>
              <w:rPr>
                <w:b/>
                <w:bCs/>
                <w:sz w:val="20"/>
                <w:szCs w:val="20"/>
              </w:rPr>
              <w:t xml:space="preserve">Profil cieplny</w:t>
            </w:r>
          </w:p>
        </w:tc>
      </w:tr>
      <w:tr>
        <w:trPr>
          <w:tblHeader w:val="false"/>
        </w:trPr>
        <w:tc>
          <w:tcPr>
            <w:tcW w:type="dxa" w:w="3629"/>
            <w:tcMar>
              <w:top w:type="dxa" w:w="60"/>
              <w:left w:type="dxa" w:w="80"/>
              <w:bottom w:type="dxa" w:w="60"/>
              <w:right w:type="dxa" w:w="80"/>
            </w:tcMar>
          </w:tcPr>
          <w:p>
            <w:pPr>
              <w:spacing w:after="0" w:line="240"/>
              <w:jc w:val="left"/>
            </w:pPr>
            <w:r>
              <w:rPr>
                <w:sz w:val="20"/>
                <w:szCs w:val="20"/>
              </w:rPr>
              <w:t xml:space="preserve">Energia roczna [MWh]</w:t>
            </w:r>
          </w:p>
        </w:tc>
        <w:tc>
          <w:tcPr>
            <w:tcW w:type="dxa" w:w="2722"/>
            <w:tcMar>
              <w:top w:type="dxa" w:w="60"/>
              <w:left w:type="dxa" w:w="80"/>
              <w:bottom w:type="dxa" w:w="60"/>
              <w:right w:type="dxa" w:w="80"/>
            </w:tcMar>
          </w:tcPr>
          <w:p>
            <w:pPr>
              <w:spacing w:after="0" w:line="240"/>
              <w:jc w:val="center"/>
            </w:pPr>
            <w:r>
              <w:rPr>
                <w:sz w:val="20"/>
                <w:szCs w:val="20"/>
              </w:rPr>
              <w:t xml:space="preserve">1 000</w:t>
            </w:r>
          </w:p>
        </w:tc>
        <w:tc>
          <w:tcPr>
            <w:tcW w:type="dxa" w:w="2722"/>
            <w:tcMar>
              <w:top w:type="dxa" w:w="60"/>
              <w:left w:type="dxa" w:w="80"/>
              <w:bottom w:type="dxa" w:w="60"/>
              <w:right w:type="dxa" w:w="80"/>
            </w:tcMar>
          </w:tcPr>
          <w:p>
            <w:pPr>
              <w:spacing w:after="0" w:line="240"/>
              <w:jc w:val="center"/>
            </w:pPr>
            <w:r>
              <w:rPr>
                <w:sz w:val="20"/>
                <w:szCs w:val="20"/>
              </w:rPr>
              <w:t xml:space="preserve">1 800</w:t>
            </w:r>
          </w:p>
        </w:tc>
      </w:tr>
      <w:tr>
        <w:trPr>
          <w:tblHeader w:val="false"/>
        </w:trPr>
        <w:tc>
          <w:tcPr>
            <w:tcW w:type="dxa" w:w="3629"/>
            <w:tcMar>
              <w:top w:type="dxa" w:w="60"/>
              <w:left w:type="dxa" w:w="80"/>
              <w:bottom w:type="dxa" w:w="60"/>
              <w:right w:type="dxa" w:w="80"/>
            </w:tcMar>
          </w:tcPr>
          <w:p>
            <w:pPr>
              <w:spacing w:after="0" w:line="240"/>
              <w:jc w:val="left"/>
            </w:pPr>
            <w:r>
              <w:rPr>
                <w:sz w:val="20"/>
                <w:szCs w:val="20"/>
              </w:rPr>
              <w:t xml:space="preserve">Moc średnia [kW]</w:t>
            </w:r>
          </w:p>
        </w:tc>
        <w:tc>
          <w:tcPr>
            <w:tcW w:type="dxa" w:w="2722"/>
            <w:tcMar>
              <w:top w:type="dxa" w:w="60"/>
              <w:left w:type="dxa" w:w="80"/>
              <w:bottom w:type="dxa" w:w="60"/>
              <w:right w:type="dxa" w:w="80"/>
            </w:tcMar>
          </w:tcPr>
          <w:p>
            <w:pPr>
              <w:spacing w:after="0" w:line="240"/>
              <w:jc w:val="center"/>
            </w:pPr>
            <w:r>
              <w:rPr>
                <w:sz w:val="20"/>
                <w:szCs w:val="20"/>
              </w:rPr>
              <w:t xml:space="preserve">114,16</w:t>
            </w:r>
          </w:p>
        </w:tc>
        <w:tc>
          <w:tcPr>
            <w:tcW w:type="dxa" w:w="2722"/>
            <w:tcMar>
              <w:top w:type="dxa" w:w="60"/>
              <w:left w:type="dxa" w:w="80"/>
              <w:bottom w:type="dxa" w:w="60"/>
              <w:right w:type="dxa" w:w="80"/>
            </w:tcMar>
          </w:tcPr>
          <w:p>
            <w:pPr>
              <w:spacing w:after="0" w:line="240"/>
              <w:jc w:val="center"/>
            </w:pPr>
            <w:r>
              <w:rPr>
                <w:sz w:val="20"/>
                <w:szCs w:val="20"/>
              </w:rPr>
              <w:t xml:space="preserve">205,48</w:t>
            </w:r>
          </w:p>
        </w:tc>
      </w:tr>
      <w:tr>
        <w:trPr>
          <w:tblHeader w:val="false"/>
        </w:trPr>
        <w:tc>
          <w:tcPr>
            <w:tcW w:type="dxa" w:w="3629"/>
            <w:tcMar>
              <w:top w:type="dxa" w:w="60"/>
              <w:left w:type="dxa" w:w="80"/>
              <w:bottom w:type="dxa" w:w="60"/>
              <w:right w:type="dxa" w:w="80"/>
            </w:tcMar>
          </w:tcPr>
          <w:p>
            <w:pPr>
              <w:spacing w:after="0" w:line="240"/>
              <w:jc w:val="left"/>
            </w:pPr>
            <w:r>
              <w:rPr>
                <w:sz w:val="20"/>
                <w:szCs w:val="20"/>
              </w:rPr>
              <w:t xml:space="preserve">Moc szczytowa [kW]</w:t>
            </w:r>
          </w:p>
        </w:tc>
        <w:tc>
          <w:tcPr>
            <w:tcW w:type="dxa" w:w="2722"/>
            <w:tcMar>
              <w:top w:type="dxa" w:w="60"/>
              <w:left w:type="dxa" w:w="80"/>
              <w:bottom w:type="dxa" w:w="60"/>
              <w:right w:type="dxa" w:w="80"/>
            </w:tcMar>
          </w:tcPr>
          <w:p>
            <w:pPr>
              <w:spacing w:after="0" w:line="240"/>
              <w:jc w:val="center"/>
            </w:pPr>
            <w:r>
              <w:rPr>
                <w:sz w:val="20"/>
                <w:szCs w:val="20"/>
              </w:rPr>
              <w:t xml:space="preserve">159,76</w:t>
            </w:r>
          </w:p>
        </w:tc>
        <w:tc>
          <w:tcPr>
            <w:tcW w:type="dxa" w:w="2722"/>
            <w:tcMar>
              <w:top w:type="dxa" w:w="60"/>
              <w:left w:type="dxa" w:w="80"/>
              <w:bottom w:type="dxa" w:w="60"/>
              <w:right w:type="dxa" w:w="80"/>
            </w:tcMar>
          </w:tcPr>
          <w:p>
            <w:pPr>
              <w:spacing w:after="0" w:line="240"/>
              <w:jc w:val="center"/>
            </w:pPr>
            <w:r>
              <w:rPr>
                <w:sz w:val="20"/>
                <w:szCs w:val="20"/>
              </w:rPr>
              <w:t xml:space="preserve">537,22</w:t>
            </w:r>
          </w:p>
        </w:tc>
      </w:tr>
      <w:tr>
        <w:trPr>
          <w:tblHeader w:val="false"/>
        </w:trPr>
        <w:tc>
          <w:tcPr>
            <w:tcW w:type="dxa" w:w="3629"/>
            <w:tcMar>
              <w:top w:type="dxa" w:w="60"/>
              <w:left w:type="dxa" w:w="80"/>
              <w:bottom w:type="dxa" w:w="60"/>
              <w:right w:type="dxa" w:w="80"/>
            </w:tcMar>
          </w:tcPr>
          <w:p>
            <w:pPr>
              <w:spacing w:after="0" w:line="240"/>
              <w:jc w:val="left"/>
            </w:pPr>
            <w:r>
              <w:rPr>
                <w:sz w:val="20"/>
                <w:szCs w:val="20"/>
              </w:rPr>
              <w:t xml:space="preserve">Moc minimalna [kW]</w:t>
            </w:r>
          </w:p>
        </w:tc>
        <w:tc>
          <w:tcPr>
            <w:tcW w:type="dxa" w:w="2722"/>
            <w:tcMar>
              <w:top w:type="dxa" w:w="60"/>
              <w:left w:type="dxa" w:w="80"/>
              <w:bottom w:type="dxa" w:w="60"/>
              <w:right w:type="dxa" w:w="80"/>
            </w:tcMar>
          </w:tcPr>
          <w:p>
            <w:pPr>
              <w:spacing w:after="0" w:line="240"/>
              <w:jc w:val="center"/>
            </w:pPr>
            <w:r>
              <w:rPr>
                <w:sz w:val="20"/>
                <w:szCs w:val="20"/>
              </w:rPr>
              <w:t xml:space="preserve">71,41</w:t>
            </w:r>
          </w:p>
        </w:tc>
        <w:tc>
          <w:tcPr>
            <w:tcW w:type="dxa" w:w="2722"/>
            <w:tcMar>
              <w:top w:type="dxa" w:w="60"/>
              <w:left w:type="dxa" w:w="80"/>
              <w:bottom w:type="dxa" w:w="60"/>
              <w:right w:type="dxa" w:w="80"/>
            </w:tcMar>
          </w:tcPr>
          <w:p>
            <w:pPr>
              <w:spacing w:after="0" w:line="240"/>
              <w:jc w:val="center"/>
            </w:pPr>
            <w:r>
              <w:rPr>
                <w:sz w:val="20"/>
                <w:szCs w:val="20"/>
              </w:rPr>
              <w:t xml:space="preserve">13,43</w:t>
            </w:r>
          </w:p>
        </w:tc>
      </w:tr>
      <w:tr>
        <w:trPr>
          <w:tblHeader w:val="false"/>
        </w:trPr>
        <w:tc>
          <w:tcPr>
            <w:tcW w:type="dxa" w:w="3629"/>
            <w:tcMar>
              <w:top w:type="dxa" w:w="60"/>
              <w:left w:type="dxa" w:w="80"/>
              <w:bottom w:type="dxa" w:w="60"/>
              <w:right w:type="dxa" w:w="80"/>
            </w:tcMar>
          </w:tcPr>
          <w:p>
            <w:pPr>
              <w:spacing w:after="0" w:line="240"/>
              <w:jc w:val="left"/>
            </w:pPr>
            <w:r>
              <w:rPr>
                <w:sz w:val="20"/>
                <w:szCs w:val="20"/>
              </w:rPr>
              <w:t xml:space="preserve">Współczynnik obciążenia</w:t>
            </w:r>
          </w:p>
        </w:tc>
        <w:tc>
          <w:tcPr>
            <w:tcW w:type="dxa" w:w="2722"/>
            <w:tcMar>
              <w:top w:type="dxa" w:w="60"/>
              <w:left w:type="dxa" w:w="80"/>
              <w:bottom w:type="dxa" w:w="60"/>
              <w:right w:type="dxa" w:w="80"/>
            </w:tcMar>
          </w:tcPr>
          <w:p>
            <w:pPr>
              <w:spacing w:after="0" w:line="240"/>
              <w:jc w:val="center"/>
            </w:pPr>
            <w:r>
              <w:rPr>
                <w:sz w:val="20"/>
                <w:szCs w:val="20"/>
              </w:rPr>
              <w:t xml:space="preserve">0,715</w:t>
            </w:r>
          </w:p>
        </w:tc>
        <w:tc>
          <w:tcPr>
            <w:tcW w:type="dxa" w:w="2722"/>
            <w:tcMar>
              <w:top w:type="dxa" w:w="60"/>
              <w:left w:type="dxa" w:w="80"/>
              <w:bottom w:type="dxa" w:w="60"/>
              <w:right w:type="dxa" w:w="80"/>
            </w:tcMar>
          </w:tcPr>
          <w:p>
            <w:pPr>
              <w:spacing w:after="0" w:line="240"/>
              <w:jc w:val="center"/>
            </w:pPr>
            <w:r>
              <w:rPr>
                <w:sz w:val="20"/>
                <w:szCs w:val="20"/>
              </w:rPr>
              <w:t xml:space="preserve">0,382</w:t>
            </w:r>
          </w:p>
        </w:tc>
      </w:tr>
      <w:tr>
        <w:trPr>
          <w:tblHeader w:val="false"/>
        </w:trPr>
        <w:tc>
          <w:tcPr>
            <w:tcW w:type="dxa" w:w="3629"/>
            <w:tcMar>
              <w:top w:type="dxa" w:w="60"/>
              <w:left w:type="dxa" w:w="80"/>
              <w:bottom w:type="dxa" w:w="60"/>
              <w:right w:type="dxa" w:w="80"/>
            </w:tcMar>
          </w:tcPr>
          <w:p>
            <w:pPr>
              <w:spacing w:after="0" w:line="240"/>
              <w:jc w:val="left"/>
            </w:pPr>
            <w:r>
              <w:rPr>
                <w:sz w:val="20"/>
                <w:szCs w:val="20"/>
              </w:rPr>
              <w:t xml:space="preserve">Miesiąc szczytowy</w:t>
            </w:r>
          </w:p>
        </w:tc>
        <w:tc>
          <w:tcPr>
            <w:tcW w:type="dxa" w:w="2722"/>
            <w:tcMar>
              <w:top w:type="dxa" w:w="60"/>
              <w:left w:type="dxa" w:w="80"/>
              <w:bottom w:type="dxa" w:w="60"/>
              <w:right w:type="dxa" w:w="80"/>
            </w:tcMar>
          </w:tcPr>
          <w:p>
            <w:pPr>
              <w:spacing w:after="0" w:line="240"/>
              <w:jc w:val="center"/>
            </w:pPr>
            <w:r>
              <w:rPr>
                <w:sz w:val="20"/>
                <w:szCs w:val="20"/>
              </w:rPr>
              <w:t xml:space="preserve">sierpień</w:t>
            </w:r>
          </w:p>
        </w:tc>
        <w:tc>
          <w:tcPr>
            <w:tcW w:type="dxa" w:w="2722"/>
            <w:tcMar>
              <w:top w:type="dxa" w:w="60"/>
              <w:left w:type="dxa" w:w="80"/>
              <w:bottom w:type="dxa" w:w="60"/>
              <w:right w:type="dxa" w:w="80"/>
            </w:tcMar>
          </w:tcPr>
          <w:p>
            <w:pPr>
              <w:spacing w:after="0" w:line="240"/>
              <w:jc w:val="center"/>
            </w:pPr>
            <w:r>
              <w:rPr>
                <w:sz w:val="20"/>
                <w:szCs w:val="20"/>
              </w:rPr>
              <w:t xml:space="preserve">styczeń</w:t>
            </w:r>
          </w:p>
        </w:tc>
      </w:tr>
    </w:tbl>
    <w:p>
      <w:pPr>
        <w:spacing w:after="200" w:before="80" w:line="240"/>
        <w:jc w:val="center"/>
      </w:pPr>
      <w:r>
        <w:rPr>
          <w:i/>
          <w:iCs/>
          <w:sz w:val="20"/>
          <w:szCs w:val="20"/>
        </w:rPr>
        <w:t xml:space="preserve">Tabela 2. Charakterystyka profili obciążenia</w:t>
      </w:r>
    </w:p>
    <w:p>
      <w:pPr>
        <w:spacing w:after="120" w:before="0" w:line="360"/>
        <w:ind w:firstLine="566"/>
        <w:jc w:val="both"/>
      </w:pPr>
      <w:r>
        <w:rPr>
          <w:sz w:val="24"/>
          <w:szCs w:val="24"/>
        </w:rPr>
        <w:t xml:space="preserve">Struktura profilu cieplnego obejmuje centralne ogrzewanie (63,9%, sterowane stopniodniami dla temperatury bazowej 15 °C), ciepłą wodę użytkową (25,0%, zapotrzebowanie całoroczne) oraz procesy technologiczne — sterylizację i pralnię (11,1%, dni robocze w godzinach 6:00–18:00).</w:t>
      </w:r>
    </w:p>
    <w:p>
      <w:pPr>
        <w:spacing w:after="120" w:before="0" w:line="360"/>
        <w:ind w:firstLine="566"/>
        <w:jc w:val="both"/>
      </w:pPr>
      <w:r>
        <w:rPr>
          <w:sz w:val="24"/>
          <w:szCs w:val="24"/>
        </w:rPr>
        <w:t xml:space="preserve">Istotną wielkością projektową jest letnia baza cieplna: w miesiącach czerwiec–sierpień moc średnia utrzymuje się na poziomie 73–75 kW. Wartość ta determinuje dobór mocy cieplnej jednostki kogeneracyjnej, umożliwiając jej pracę całoroczną bez zrzutu ciepła do otoczenia.</w:t>
      </w:r>
    </w:p>
    <w:p>
      <w:pPr>
        <w:pStyle w:val="Heading2"/>
        <w:spacing w:after="180" w:before="240" w:line="360"/>
      </w:pPr>
      <w:r>
        <w:rPr>
          <w:b/>
          <w:bCs/>
          <w:sz w:val="28"/>
          <w:szCs w:val="28"/>
        </w:rPr>
        <w:t xml:space="preserve">1.3. Weryfikacja poprawności profilu elektrycznego</w:t>
      </w:r>
    </w:p>
    <w:p>
      <w:pPr>
        <w:spacing w:after="120" w:before="0" w:line="360"/>
        <w:ind w:firstLine="566"/>
        <w:jc w:val="both"/>
      </w:pPr>
      <w:r>
        <w:rPr>
          <w:sz w:val="24"/>
          <w:szCs w:val="24"/>
        </w:rPr>
        <w:t xml:space="preserve">Przeprowadzono test kontrolny porównujący profil własny z profilem syntetycznym generowanym przez bibliotekę wbudowaną programu.</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813"/>
        <w:gridCol w:w="2268"/>
        <w:gridCol w:w="1996"/>
        <w:gridCol w:w="1996"/>
      </w:tblGrid>
      <w:tr>
        <w:trPr>
          <w:tblHeader/>
        </w:trPr>
        <w:tc>
          <w:tcPr>
            <w:tcW w:type="dxa" w:w="2813"/>
            <w:shd w:fill="D9E2F3" w:val="clear"/>
            <w:tcMar>
              <w:top w:type="dxa" w:w="60"/>
              <w:left w:type="dxa" w:w="80"/>
              <w:bottom w:type="dxa" w:w="60"/>
              <w:right w:type="dxa" w:w="80"/>
            </w:tcMar>
          </w:tcPr>
          <w:p>
            <w:pPr>
              <w:spacing w:after="0" w:line="240"/>
              <w:jc w:val="left"/>
            </w:pPr>
            <w:r>
              <w:rPr>
                <w:b/>
                <w:bCs/>
                <w:sz w:val="20"/>
                <w:szCs w:val="20"/>
              </w:rPr>
              <w:t xml:space="preserve">Metryka</w:t>
            </w:r>
          </w:p>
        </w:tc>
        <w:tc>
          <w:tcPr>
            <w:tcW w:type="dxa" w:w="2268"/>
            <w:shd w:fill="D9E2F3" w:val="clear"/>
            <w:tcMar>
              <w:top w:type="dxa" w:w="60"/>
              <w:left w:type="dxa" w:w="80"/>
              <w:bottom w:type="dxa" w:w="60"/>
              <w:right w:type="dxa" w:w="80"/>
            </w:tcMar>
          </w:tcPr>
          <w:p>
            <w:pPr>
              <w:spacing w:after="0" w:line="240"/>
              <w:jc w:val="center"/>
            </w:pPr>
            <w:r>
              <w:rPr>
                <w:b/>
                <w:bCs/>
                <w:sz w:val="20"/>
                <w:szCs w:val="20"/>
              </w:rPr>
              <w:t xml:space="preserve">Profil syntetyczny HOMER</w:t>
            </w:r>
          </w:p>
        </w:tc>
        <w:tc>
          <w:tcPr>
            <w:tcW w:type="dxa" w:w="1996"/>
            <w:shd w:fill="D9E2F3" w:val="clear"/>
            <w:tcMar>
              <w:top w:type="dxa" w:w="60"/>
              <w:left w:type="dxa" w:w="80"/>
              <w:bottom w:type="dxa" w:w="60"/>
              <w:right w:type="dxa" w:w="80"/>
            </w:tcMar>
          </w:tcPr>
          <w:p>
            <w:pPr>
              <w:spacing w:after="0" w:line="240"/>
              <w:jc w:val="center"/>
            </w:pPr>
            <w:r>
              <w:rPr>
                <w:b/>
                <w:bCs/>
                <w:sz w:val="20"/>
                <w:szCs w:val="20"/>
              </w:rPr>
              <w:t xml:space="preserve">Profil własny</w:t>
            </w:r>
          </w:p>
        </w:tc>
        <w:tc>
          <w:tcPr>
            <w:tcW w:type="dxa" w:w="1996"/>
            <w:shd w:fill="D9E2F3" w:val="clear"/>
            <w:tcMar>
              <w:top w:type="dxa" w:w="60"/>
              <w:left w:type="dxa" w:w="80"/>
              <w:bottom w:type="dxa" w:w="60"/>
              <w:right w:type="dxa" w:w="80"/>
            </w:tcMar>
          </w:tcPr>
          <w:p>
            <w:pPr>
              <w:spacing w:after="0" w:line="240"/>
              <w:jc w:val="center"/>
            </w:pPr>
            <w:r>
              <w:rPr>
                <w:b/>
                <w:bCs/>
                <w:sz w:val="20"/>
                <w:szCs w:val="20"/>
              </w:rPr>
              <w:t xml:space="preserve">Wartość literaturowa</w:t>
            </w:r>
          </w:p>
        </w:tc>
      </w:tr>
      <w:tr>
        <w:trPr>
          <w:tblHeader w:val="false"/>
        </w:trPr>
        <w:tc>
          <w:tcPr>
            <w:tcW w:type="dxa" w:w="2813"/>
            <w:tcMar>
              <w:top w:type="dxa" w:w="60"/>
              <w:left w:type="dxa" w:w="80"/>
              <w:bottom w:type="dxa" w:w="60"/>
              <w:right w:type="dxa" w:w="80"/>
            </w:tcMar>
          </w:tcPr>
          <w:p>
            <w:pPr>
              <w:spacing w:after="0" w:line="240"/>
              <w:jc w:val="left"/>
            </w:pPr>
            <w:r>
              <w:rPr>
                <w:b w:val="false"/>
                <w:bCs w:val="false"/>
                <w:sz w:val="20"/>
                <w:szCs w:val="20"/>
              </w:rPr>
              <w:t xml:space="preserve">Moc szczytowa [kW]</w:t>
            </w:r>
          </w:p>
        </w:tc>
        <w:tc>
          <w:tcPr>
            <w:tcW w:type="dxa" w:w="2268"/>
            <w:tcMar>
              <w:top w:type="dxa" w:w="60"/>
              <w:left w:type="dxa" w:w="80"/>
              <w:bottom w:type="dxa" w:w="60"/>
              <w:right w:type="dxa" w:w="80"/>
            </w:tcMar>
          </w:tcPr>
          <w:p>
            <w:pPr>
              <w:spacing w:after="0" w:line="240"/>
              <w:jc w:val="center"/>
            </w:pPr>
            <w:r>
              <w:rPr>
                <w:b w:val="false"/>
                <w:bCs w:val="false"/>
                <w:sz w:val="20"/>
                <w:szCs w:val="20"/>
              </w:rPr>
              <w:t xml:space="preserve">508,72</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159,76</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w:t>
            </w:r>
          </w:p>
        </w:tc>
      </w:tr>
      <w:tr>
        <w:trPr>
          <w:tblHeader w:val="false"/>
        </w:trPr>
        <w:tc>
          <w:tcPr>
            <w:tcW w:type="dxa" w:w="2813"/>
            <w:shd w:fill="FFF2CC" w:val="clear"/>
            <w:tcMar>
              <w:top w:type="dxa" w:w="60"/>
              <w:left w:type="dxa" w:w="80"/>
              <w:bottom w:type="dxa" w:w="60"/>
              <w:right w:type="dxa" w:w="80"/>
            </w:tcMar>
          </w:tcPr>
          <w:p>
            <w:pPr>
              <w:spacing w:after="0" w:line="240"/>
              <w:jc w:val="left"/>
            </w:pPr>
            <w:r>
              <w:rPr>
                <w:b/>
                <w:bCs/>
                <w:sz w:val="20"/>
                <w:szCs w:val="20"/>
              </w:rPr>
              <w:t xml:space="preserve">Współczynnik obciążenia</w:t>
            </w:r>
          </w:p>
        </w:tc>
        <w:tc>
          <w:tcPr>
            <w:tcW w:type="dxa" w:w="2268"/>
            <w:shd w:fill="FFF2CC" w:val="clear"/>
            <w:tcMar>
              <w:top w:type="dxa" w:w="60"/>
              <w:left w:type="dxa" w:w="80"/>
              <w:bottom w:type="dxa" w:w="60"/>
              <w:right w:type="dxa" w:w="80"/>
            </w:tcMar>
          </w:tcPr>
          <w:p>
            <w:pPr>
              <w:spacing w:after="0" w:line="240"/>
              <w:jc w:val="center"/>
            </w:pPr>
            <w:r>
              <w:rPr>
                <w:b w:val="false"/>
                <w:bCs w:val="false"/>
                <w:sz w:val="20"/>
                <w:szCs w:val="20"/>
              </w:rPr>
              <w:t xml:space="preserve">0,22</w:t>
            </w:r>
          </w:p>
        </w:tc>
        <w:tc>
          <w:tcPr>
            <w:tcW w:type="dxa" w:w="1996"/>
            <w:shd w:fill="FFF2CC" w:val="clear"/>
            <w:tcMar>
              <w:top w:type="dxa" w:w="60"/>
              <w:left w:type="dxa" w:w="80"/>
              <w:bottom w:type="dxa" w:w="60"/>
              <w:right w:type="dxa" w:w="80"/>
            </w:tcMar>
          </w:tcPr>
          <w:p>
            <w:pPr>
              <w:spacing w:after="0" w:line="240"/>
              <w:jc w:val="center"/>
            </w:pPr>
            <w:r>
              <w:rPr>
                <w:b w:val="false"/>
                <w:bCs w:val="false"/>
                <w:sz w:val="20"/>
                <w:szCs w:val="20"/>
              </w:rPr>
              <w:t xml:space="preserve">0,715</w:t>
            </w:r>
          </w:p>
        </w:tc>
        <w:tc>
          <w:tcPr>
            <w:tcW w:type="dxa" w:w="1996"/>
            <w:shd w:fill="FFF2CC" w:val="clear"/>
            <w:tcMar>
              <w:top w:type="dxa" w:w="60"/>
              <w:left w:type="dxa" w:w="80"/>
              <w:bottom w:type="dxa" w:w="60"/>
              <w:right w:type="dxa" w:w="80"/>
            </w:tcMar>
          </w:tcPr>
          <w:p>
            <w:pPr>
              <w:spacing w:after="0" w:line="240"/>
              <w:jc w:val="center"/>
            </w:pPr>
            <w:r>
              <w:rPr>
                <w:b w:val="false"/>
                <w:bCs w:val="false"/>
                <w:sz w:val="20"/>
                <w:szCs w:val="20"/>
              </w:rPr>
              <w:t xml:space="preserve">0,6–0,7</w:t>
            </w:r>
          </w:p>
        </w:tc>
      </w:tr>
    </w:tbl>
    <w:p>
      <w:pPr>
        <w:spacing w:after="200" w:before="80" w:line="240"/>
        <w:jc w:val="center"/>
      </w:pPr>
      <w:r>
        <w:rPr>
          <w:i/>
          <w:iCs/>
          <w:sz w:val="20"/>
          <w:szCs w:val="20"/>
        </w:rPr>
        <w:t xml:space="preserve">Tabela 3. Porównanie profilu syntetycznego z profilem własnym</w:t>
      </w:r>
    </w:p>
    <w:p>
      <w:pPr>
        <w:spacing w:after="120" w:before="0" w:line="360"/>
        <w:ind w:firstLine="566"/>
        <w:jc w:val="both"/>
      </w:pPr>
      <w:r>
        <w:rPr>
          <w:sz w:val="24"/>
          <w:szCs w:val="24"/>
        </w:rPr>
        <w:t xml:space="preserve">Profil wbudowany zawyża moc szczytową 3,2-krotnie, przyjmując charakterystykę typową dla budynku mieszkalnego. Zastosowanie takiego profilu prowadziłoby do przewymiarowania agregatu, magazynu energii oraz przekształtników. Opracowanie profilu własnego stanowi zatem warunek konieczny wiarygodności obliczeń.</w:t>
      </w:r>
    </w:p>
    <w:p>
      <w:pPr>
        <w:pStyle w:val="Heading2"/>
        <w:spacing w:after="180" w:before="240" w:line="360"/>
      </w:pPr>
      <w:r>
        <w:rPr>
          <w:b/>
          <w:bCs/>
          <w:sz w:val="28"/>
          <w:szCs w:val="28"/>
        </w:rPr>
        <w:t xml:space="preserve">1.4. Parametry komponentów</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1815"/>
        <w:gridCol w:w="2359"/>
        <w:gridCol w:w="1633"/>
        <w:gridCol w:w="3266"/>
      </w:tblGrid>
      <w:tr>
        <w:trPr>
          <w:tblHeader/>
        </w:trPr>
        <w:tc>
          <w:tcPr>
            <w:tcW w:type="dxa" w:w="1815"/>
            <w:shd w:fill="D9E2F3" w:val="clear"/>
            <w:tcMar>
              <w:top w:type="dxa" w:w="60"/>
              <w:left w:type="dxa" w:w="80"/>
              <w:bottom w:type="dxa" w:w="60"/>
              <w:right w:type="dxa" w:w="80"/>
            </w:tcMar>
          </w:tcPr>
          <w:p>
            <w:pPr>
              <w:spacing w:after="0" w:line="240"/>
              <w:jc w:val="left"/>
            </w:pPr>
            <w:r>
              <w:rPr>
                <w:b/>
                <w:bCs/>
                <w:sz w:val="20"/>
                <w:szCs w:val="20"/>
              </w:rPr>
              <w:t xml:space="preserve">Komponent</w:t>
            </w:r>
          </w:p>
        </w:tc>
        <w:tc>
          <w:tcPr>
            <w:tcW w:type="dxa" w:w="2359"/>
            <w:shd w:fill="D9E2F3" w:val="clear"/>
            <w:tcMar>
              <w:top w:type="dxa" w:w="60"/>
              <w:left w:type="dxa" w:w="80"/>
              <w:bottom w:type="dxa" w:w="60"/>
              <w:right w:type="dxa" w:w="80"/>
            </w:tcMar>
          </w:tcPr>
          <w:p>
            <w:pPr>
              <w:spacing w:after="0" w:line="240"/>
              <w:jc w:val="center"/>
            </w:pPr>
            <w:r>
              <w:rPr>
                <w:b/>
                <w:bCs/>
                <w:sz w:val="20"/>
                <w:szCs w:val="20"/>
              </w:rPr>
              <w:t xml:space="preserve">Model</w:t>
            </w:r>
          </w:p>
        </w:tc>
        <w:tc>
          <w:tcPr>
            <w:tcW w:type="dxa" w:w="1633"/>
            <w:shd w:fill="D9E2F3" w:val="clear"/>
            <w:tcMar>
              <w:top w:type="dxa" w:w="60"/>
              <w:left w:type="dxa" w:w="80"/>
              <w:bottom w:type="dxa" w:w="60"/>
              <w:right w:type="dxa" w:w="80"/>
            </w:tcMar>
          </w:tcPr>
          <w:p>
            <w:pPr>
              <w:spacing w:after="0" w:line="240"/>
              <w:jc w:val="center"/>
            </w:pPr>
            <w:r>
              <w:rPr>
                <w:b/>
                <w:bCs/>
                <w:sz w:val="20"/>
                <w:szCs w:val="20"/>
              </w:rPr>
              <w:t xml:space="preserve">CAPEX</w:t>
            </w:r>
          </w:p>
        </w:tc>
        <w:tc>
          <w:tcPr>
            <w:tcW w:type="dxa" w:w="3266"/>
            <w:shd w:fill="D9E2F3" w:val="clear"/>
            <w:tcMar>
              <w:top w:type="dxa" w:w="60"/>
              <w:left w:type="dxa" w:w="80"/>
              <w:bottom w:type="dxa" w:w="60"/>
              <w:right w:type="dxa" w:w="80"/>
            </w:tcMar>
          </w:tcPr>
          <w:p>
            <w:pPr>
              <w:spacing w:after="0" w:line="240"/>
              <w:jc w:val="center"/>
            </w:pPr>
            <w:r>
              <w:rPr>
                <w:b/>
                <w:bCs/>
                <w:sz w:val="20"/>
                <w:szCs w:val="20"/>
              </w:rPr>
              <w:t xml:space="preserve">Parametry</w:t>
            </w:r>
          </w:p>
        </w:tc>
      </w:tr>
      <w:tr>
        <w:trPr>
          <w:tblHeader w:val="false"/>
        </w:trPr>
        <w:tc>
          <w:tcPr>
            <w:tcW w:type="dxa" w:w="1815"/>
            <w:tcMar>
              <w:top w:type="dxa" w:w="60"/>
              <w:left w:type="dxa" w:w="80"/>
              <w:bottom w:type="dxa" w:w="60"/>
              <w:right w:type="dxa" w:w="80"/>
            </w:tcMar>
          </w:tcPr>
          <w:p>
            <w:pPr>
              <w:spacing w:after="0" w:line="240"/>
              <w:jc w:val="left"/>
            </w:pPr>
            <w:r>
              <w:rPr>
                <w:b w:val="false"/>
                <w:bCs w:val="false"/>
                <w:sz w:val="20"/>
                <w:szCs w:val="20"/>
              </w:rPr>
              <w:t xml:space="preserve">Instalacja PV</w:t>
            </w:r>
          </w:p>
        </w:tc>
        <w:tc>
          <w:tcPr>
            <w:tcW w:type="dxa" w:w="2359"/>
            <w:tcMar>
              <w:top w:type="dxa" w:w="60"/>
              <w:left w:type="dxa" w:w="80"/>
              <w:bottom w:type="dxa" w:w="60"/>
              <w:right w:type="dxa" w:w="80"/>
            </w:tcMar>
          </w:tcPr>
          <w:p>
            <w:pPr>
              <w:spacing w:after="0" w:line="240"/>
              <w:jc w:val="center"/>
            </w:pPr>
            <w:r>
              <w:rPr>
                <w:b w:val="false"/>
                <w:bCs w:val="false"/>
                <w:sz w:val="20"/>
                <w:szCs w:val="20"/>
              </w:rPr>
              <w:t xml:space="preserve">Generic flat plate</w:t>
            </w:r>
          </w:p>
        </w:tc>
        <w:tc>
          <w:tcPr>
            <w:tcW w:type="dxa" w:w="1633"/>
            <w:tcMar>
              <w:top w:type="dxa" w:w="60"/>
              <w:left w:type="dxa" w:w="80"/>
              <w:bottom w:type="dxa" w:w="60"/>
              <w:right w:type="dxa" w:w="80"/>
            </w:tcMar>
          </w:tcPr>
          <w:p>
            <w:pPr>
              <w:spacing w:after="0" w:line="240"/>
              <w:jc w:val="center"/>
            </w:pPr>
            <w:r>
              <w:rPr>
                <w:b w:val="false"/>
                <w:bCs w:val="false"/>
                <w:sz w:val="20"/>
                <w:szCs w:val="20"/>
              </w:rPr>
              <w:t xml:space="preserve">800 $/kW</w:t>
            </w:r>
          </w:p>
        </w:tc>
        <w:tc>
          <w:tcPr>
            <w:tcW w:type="dxa" w:w="3266"/>
            <w:tcMar>
              <w:top w:type="dxa" w:w="60"/>
              <w:left w:type="dxa" w:w="80"/>
              <w:bottom w:type="dxa" w:w="60"/>
              <w:right w:type="dxa" w:w="80"/>
            </w:tcMar>
          </w:tcPr>
          <w:p>
            <w:pPr>
              <w:spacing w:after="0" w:line="240"/>
              <w:jc w:val="center"/>
            </w:pPr>
            <w:r>
              <w:rPr>
                <w:b w:val="false"/>
                <w:bCs w:val="false"/>
                <w:sz w:val="20"/>
                <w:szCs w:val="20"/>
              </w:rPr>
              <w:t xml:space="preserve">derating 80%, 25 lat</w:t>
            </w:r>
          </w:p>
        </w:tc>
      </w:tr>
      <w:tr>
        <w:trPr>
          <w:tblHeader w:val="false"/>
        </w:trPr>
        <w:tc>
          <w:tcPr>
            <w:tcW w:type="dxa" w:w="1815"/>
            <w:tcMar>
              <w:top w:type="dxa" w:w="60"/>
              <w:left w:type="dxa" w:w="80"/>
              <w:bottom w:type="dxa" w:w="60"/>
              <w:right w:type="dxa" w:w="80"/>
            </w:tcMar>
          </w:tcPr>
          <w:p>
            <w:pPr>
              <w:spacing w:after="0" w:line="240"/>
              <w:jc w:val="left"/>
            </w:pPr>
            <w:r>
              <w:rPr>
                <w:b w:val="false"/>
                <w:bCs w:val="false"/>
                <w:sz w:val="20"/>
                <w:szCs w:val="20"/>
              </w:rPr>
              <w:t xml:space="preserve">Magazyn energii</w:t>
            </w:r>
          </w:p>
        </w:tc>
        <w:tc>
          <w:tcPr>
            <w:tcW w:type="dxa" w:w="2359"/>
            <w:tcMar>
              <w:top w:type="dxa" w:w="60"/>
              <w:left w:type="dxa" w:w="80"/>
              <w:bottom w:type="dxa" w:w="60"/>
              <w:right w:type="dxa" w:w="80"/>
            </w:tcMar>
          </w:tcPr>
          <w:p>
            <w:pPr>
              <w:spacing w:after="0" w:line="240"/>
              <w:jc w:val="center"/>
            </w:pPr>
            <w:r>
              <w:rPr>
                <w:b w:val="false"/>
                <w:bCs w:val="false"/>
                <w:sz w:val="20"/>
                <w:szCs w:val="20"/>
              </w:rPr>
              <w:t xml:space="preserve">Generic 100 kWh Li-Ion</w:t>
            </w:r>
          </w:p>
        </w:tc>
        <w:tc>
          <w:tcPr>
            <w:tcW w:type="dxa" w:w="1633"/>
            <w:tcMar>
              <w:top w:type="dxa" w:w="60"/>
              <w:left w:type="dxa" w:w="80"/>
              <w:bottom w:type="dxa" w:w="60"/>
              <w:right w:type="dxa" w:w="80"/>
            </w:tcMar>
          </w:tcPr>
          <w:p>
            <w:pPr>
              <w:spacing w:after="0" w:line="240"/>
              <w:jc w:val="center"/>
            </w:pPr>
            <w:r>
              <w:rPr>
                <w:b w:val="false"/>
                <w:bCs w:val="false"/>
                <w:sz w:val="20"/>
                <w:szCs w:val="20"/>
              </w:rPr>
              <w:t xml:space="preserve">30 000 $/szt.</w:t>
            </w:r>
          </w:p>
        </w:tc>
        <w:tc>
          <w:tcPr>
            <w:tcW w:type="dxa" w:w="3266"/>
            <w:tcMar>
              <w:top w:type="dxa" w:w="60"/>
              <w:left w:type="dxa" w:w="80"/>
              <w:bottom w:type="dxa" w:w="60"/>
              <w:right w:type="dxa" w:w="80"/>
            </w:tcMar>
          </w:tcPr>
          <w:p>
            <w:pPr>
              <w:spacing w:after="0" w:line="240"/>
              <w:jc w:val="center"/>
            </w:pPr>
            <w:r>
              <w:rPr>
                <w:b w:val="false"/>
                <w:bCs w:val="false"/>
                <w:sz w:val="20"/>
                <w:szCs w:val="20"/>
              </w:rPr>
              <w:t xml:space="preserve">SoC min. 40%, η 90%</w:t>
            </w:r>
          </w:p>
        </w:tc>
      </w:tr>
      <w:tr>
        <w:trPr>
          <w:tblHeader w:val="false"/>
        </w:trPr>
        <w:tc>
          <w:tcPr>
            <w:tcW w:type="dxa" w:w="1815"/>
            <w:tcMar>
              <w:top w:type="dxa" w:w="60"/>
              <w:left w:type="dxa" w:w="80"/>
              <w:bottom w:type="dxa" w:w="60"/>
              <w:right w:type="dxa" w:w="80"/>
            </w:tcMar>
          </w:tcPr>
          <w:p>
            <w:pPr>
              <w:spacing w:after="0" w:line="240"/>
              <w:jc w:val="left"/>
            </w:pPr>
            <w:r>
              <w:rPr>
                <w:b w:val="false"/>
                <w:bCs w:val="false"/>
                <w:sz w:val="20"/>
                <w:szCs w:val="20"/>
              </w:rPr>
              <w:t xml:space="preserve">Przekształtnik</w:t>
            </w:r>
          </w:p>
        </w:tc>
        <w:tc>
          <w:tcPr>
            <w:tcW w:type="dxa" w:w="2359"/>
            <w:tcMar>
              <w:top w:type="dxa" w:w="60"/>
              <w:left w:type="dxa" w:w="80"/>
              <w:bottom w:type="dxa" w:w="60"/>
              <w:right w:type="dxa" w:w="80"/>
            </w:tcMar>
          </w:tcPr>
          <w:p>
            <w:pPr>
              <w:spacing w:after="0" w:line="240"/>
              <w:jc w:val="center"/>
            </w:pPr>
            <w:r>
              <w:rPr>
                <w:b w:val="false"/>
                <w:bCs w:val="false"/>
                <w:sz w:val="20"/>
                <w:szCs w:val="20"/>
              </w:rPr>
              <w:t xml:space="preserve">System Converter</w:t>
            </w:r>
          </w:p>
        </w:tc>
        <w:tc>
          <w:tcPr>
            <w:tcW w:type="dxa" w:w="1633"/>
            <w:tcMar>
              <w:top w:type="dxa" w:w="60"/>
              <w:left w:type="dxa" w:w="80"/>
              <w:bottom w:type="dxa" w:w="60"/>
              <w:right w:type="dxa" w:w="80"/>
            </w:tcMar>
          </w:tcPr>
          <w:p>
            <w:pPr>
              <w:spacing w:after="0" w:line="240"/>
              <w:jc w:val="center"/>
            </w:pPr>
            <w:r>
              <w:rPr>
                <w:b w:val="false"/>
                <w:bCs w:val="false"/>
                <w:sz w:val="20"/>
                <w:szCs w:val="20"/>
              </w:rPr>
              <w:t xml:space="preserve">300 $/kW</w:t>
            </w:r>
          </w:p>
        </w:tc>
        <w:tc>
          <w:tcPr>
            <w:tcW w:type="dxa" w:w="3266"/>
            <w:tcMar>
              <w:top w:type="dxa" w:w="60"/>
              <w:left w:type="dxa" w:w="80"/>
              <w:bottom w:type="dxa" w:w="60"/>
              <w:right w:type="dxa" w:w="80"/>
            </w:tcMar>
          </w:tcPr>
          <w:p>
            <w:pPr>
              <w:spacing w:after="0" w:line="240"/>
              <w:jc w:val="center"/>
            </w:pPr>
            <w:r>
              <w:rPr>
                <w:b w:val="false"/>
                <w:bCs w:val="false"/>
                <w:sz w:val="20"/>
                <w:szCs w:val="20"/>
              </w:rPr>
              <w:t xml:space="preserve">η 95%</w:t>
            </w:r>
          </w:p>
        </w:tc>
      </w:tr>
      <w:tr>
        <w:trPr>
          <w:tblHeader w:val="false"/>
        </w:trPr>
        <w:tc>
          <w:tcPr>
            <w:tcW w:type="dxa" w:w="1815"/>
            <w:tcMar>
              <w:top w:type="dxa" w:w="60"/>
              <w:left w:type="dxa" w:w="80"/>
              <w:bottom w:type="dxa" w:w="60"/>
              <w:right w:type="dxa" w:w="80"/>
            </w:tcMar>
          </w:tcPr>
          <w:p>
            <w:pPr>
              <w:spacing w:after="0" w:line="240"/>
              <w:jc w:val="left"/>
            </w:pPr>
            <w:r>
              <w:rPr>
                <w:b w:val="false"/>
                <w:bCs w:val="false"/>
                <w:sz w:val="20"/>
                <w:szCs w:val="20"/>
              </w:rPr>
              <w:t xml:space="preserve">Agregat</w:t>
            </w:r>
          </w:p>
        </w:tc>
        <w:tc>
          <w:tcPr>
            <w:tcW w:type="dxa" w:w="2359"/>
            <w:tcMar>
              <w:top w:type="dxa" w:w="60"/>
              <w:left w:type="dxa" w:w="80"/>
              <w:bottom w:type="dxa" w:w="60"/>
              <w:right w:type="dxa" w:w="80"/>
            </w:tcMar>
          </w:tcPr>
          <w:p>
            <w:pPr>
              <w:spacing w:after="0" w:line="240"/>
              <w:jc w:val="center"/>
            </w:pPr>
            <w:r>
              <w:rPr>
                <w:b w:val="false"/>
                <w:bCs w:val="false"/>
                <w:sz w:val="20"/>
                <w:szCs w:val="20"/>
              </w:rPr>
              <w:t xml:space="preserve">Autosize Genset (Diesel)</w:t>
            </w:r>
          </w:p>
        </w:tc>
        <w:tc>
          <w:tcPr>
            <w:tcW w:type="dxa" w:w="1633"/>
            <w:tcMar>
              <w:top w:type="dxa" w:w="60"/>
              <w:left w:type="dxa" w:w="80"/>
              <w:bottom w:type="dxa" w:w="60"/>
              <w:right w:type="dxa" w:w="80"/>
            </w:tcMar>
          </w:tcPr>
          <w:p>
            <w:pPr>
              <w:spacing w:after="0" w:line="240"/>
              <w:jc w:val="center"/>
            </w:pPr>
            <w:r>
              <w:rPr>
                <w:b w:val="false"/>
                <w:bCs w:val="false"/>
                <w:sz w:val="20"/>
                <w:szCs w:val="20"/>
              </w:rPr>
              <w:t xml:space="preserve">500 $/kW</w:t>
            </w:r>
          </w:p>
        </w:tc>
        <w:tc>
          <w:tcPr>
            <w:tcW w:type="dxa" w:w="3266"/>
            <w:tcMar>
              <w:top w:type="dxa" w:w="60"/>
              <w:left w:type="dxa" w:w="80"/>
              <w:bottom w:type="dxa" w:w="60"/>
              <w:right w:type="dxa" w:w="80"/>
            </w:tcMar>
          </w:tcPr>
          <w:p>
            <w:pPr>
              <w:spacing w:after="0" w:line="240"/>
              <w:jc w:val="center"/>
            </w:pPr>
            <w:r>
              <w:rPr>
                <w:b w:val="false"/>
                <w:bCs w:val="false"/>
                <w:sz w:val="20"/>
                <w:szCs w:val="20"/>
              </w:rPr>
              <w:t xml:space="preserve">min. obciążenie 25%</w:t>
            </w:r>
          </w:p>
        </w:tc>
      </w:tr>
      <w:tr>
        <w:trPr>
          <w:tblHeader w:val="false"/>
        </w:trPr>
        <w:tc>
          <w:tcPr>
            <w:tcW w:type="dxa" w:w="1815"/>
            <w:shd w:fill="FFF2CC" w:val="clear"/>
            <w:tcMar>
              <w:top w:type="dxa" w:w="60"/>
              <w:left w:type="dxa" w:w="80"/>
              <w:bottom w:type="dxa" w:w="60"/>
              <w:right w:type="dxa" w:w="80"/>
            </w:tcMar>
          </w:tcPr>
          <w:p>
            <w:pPr>
              <w:spacing w:after="0" w:line="240"/>
              <w:jc w:val="left"/>
            </w:pPr>
            <w:r>
              <w:rPr>
                <w:b/>
                <w:bCs/>
                <w:sz w:val="20"/>
                <w:szCs w:val="20"/>
              </w:rPr>
              <w:t xml:space="preserve">Kogeneracja</w:t>
            </w:r>
          </w:p>
        </w:tc>
        <w:tc>
          <w:tcPr>
            <w:tcW w:type="dxa" w:w="2359"/>
            <w:shd w:fill="FFF2CC" w:val="clear"/>
            <w:tcMar>
              <w:top w:type="dxa" w:w="60"/>
              <w:left w:type="dxa" w:w="80"/>
              <w:bottom w:type="dxa" w:w="60"/>
              <w:right w:type="dxa" w:w="80"/>
            </w:tcMar>
          </w:tcPr>
          <w:p>
            <w:pPr>
              <w:spacing w:after="0" w:line="240"/>
              <w:jc w:val="center"/>
            </w:pPr>
            <w:r>
              <w:rPr>
                <w:b w:val="false"/>
                <w:bCs w:val="false"/>
                <w:sz w:val="20"/>
                <w:szCs w:val="20"/>
              </w:rPr>
              <w:t xml:space="preserve">2G Aura 404</w:t>
            </w:r>
          </w:p>
        </w:tc>
        <w:tc>
          <w:tcPr>
            <w:tcW w:type="dxa" w:w="1633"/>
            <w:shd w:fill="FFF2CC" w:val="clear"/>
            <w:tcMar>
              <w:top w:type="dxa" w:w="60"/>
              <w:left w:type="dxa" w:w="80"/>
              <w:bottom w:type="dxa" w:w="60"/>
              <w:right w:type="dxa" w:w="80"/>
            </w:tcMar>
          </w:tcPr>
          <w:p>
            <w:pPr>
              <w:spacing w:after="0" w:line="240"/>
              <w:jc w:val="center"/>
            </w:pPr>
            <w:r>
              <w:rPr>
                <w:b w:val="false"/>
                <w:bCs w:val="false"/>
                <w:sz w:val="20"/>
                <w:szCs w:val="20"/>
              </w:rPr>
              <w:t xml:space="preserve">450 000 $</w:t>
            </w:r>
          </w:p>
        </w:tc>
        <w:tc>
          <w:tcPr>
            <w:tcW w:type="dxa" w:w="3266"/>
            <w:shd w:fill="FFF2CC" w:val="clear"/>
            <w:tcMar>
              <w:top w:type="dxa" w:w="60"/>
              <w:left w:type="dxa" w:w="80"/>
              <w:bottom w:type="dxa" w:w="60"/>
              <w:right w:type="dxa" w:w="80"/>
            </w:tcMar>
          </w:tcPr>
          <w:p>
            <w:pPr>
              <w:spacing w:after="0" w:line="240"/>
              <w:jc w:val="center"/>
            </w:pPr>
            <w:r>
              <w:rPr>
                <w:b w:val="false"/>
                <w:bCs w:val="false"/>
                <w:sz w:val="20"/>
                <w:szCs w:val="20"/>
              </w:rPr>
              <w:t xml:space="preserve">100 kW, gaz ziemny, odzysk ciepła 57,2%</w:t>
            </w:r>
          </w:p>
        </w:tc>
      </w:tr>
      <w:tr>
        <w:trPr>
          <w:tblHeader w:val="false"/>
        </w:trPr>
        <w:tc>
          <w:tcPr>
            <w:tcW w:type="dxa" w:w="1815"/>
            <w:tcMar>
              <w:top w:type="dxa" w:w="60"/>
              <w:left w:type="dxa" w:w="80"/>
              <w:bottom w:type="dxa" w:w="60"/>
              <w:right w:type="dxa" w:w="80"/>
            </w:tcMar>
          </w:tcPr>
          <w:p>
            <w:pPr>
              <w:spacing w:after="0" w:line="240"/>
              <w:jc w:val="left"/>
            </w:pPr>
            <w:r>
              <w:rPr>
                <w:b w:val="false"/>
                <w:bCs w:val="false"/>
                <w:sz w:val="20"/>
                <w:szCs w:val="20"/>
              </w:rPr>
              <w:t xml:space="preserve">Kocioł szczytowy</w:t>
            </w:r>
          </w:p>
        </w:tc>
        <w:tc>
          <w:tcPr>
            <w:tcW w:type="dxa" w:w="2359"/>
            <w:tcMar>
              <w:top w:type="dxa" w:w="60"/>
              <w:left w:type="dxa" w:w="80"/>
              <w:bottom w:type="dxa" w:w="60"/>
              <w:right w:type="dxa" w:w="80"/>
            </w:tcMar>
          </w:tcPr>
          <w:p>
            <w:pPr>
              <w:spacing w:after="0" w:line="240"/>
              <w:jc w:val="center"/>
            </w:pPr>
            <w:r>
              <w:rPr>
                <w:b w:val="false"/>
                <w:bCs w:val="false"/>
                <w:sz w:val="20"/>
                <w:szCs w:val="20"/>
              </w:rPr>
              <w:t xml:space="preserve">Generic Boiler</w:t>
            </w:r>
          </w:p>
        </w:tc>
        <w:tc>
          <w:tcPr>
            <w:tcW w:type="dxa" w:w="1633"/>
            <w:tcMar>
              <w:top w:type="dxa" w:w="60"/>
              <w:left w:type="dxa" w:w="80"/>
              <w:bottom w:type="dxa" w:w="60"/>
              <w:right w:type="dxa" w:w="80"/>
            </w:tcMar>
          </w:tcPr>
          <w:p>
            <w:pPr>
              <w:spacing w:after="0" w:line="240"/>
              <w:jc w:val="center"/>
            </w:pPr>
            <w:r>
              <w:rPr>
                <w:b w:val="false"/>
                <w:bCs w:val="false"/>
                <w:sz w:val="20"/>
                <w:szCs w:val="20"/>
              </w:rPr>
              <w:t xml:space="preserve">—</w:t>
            </w:r>
          </w:p>
        </w:tc>
        <w:tc>
          <w:tcPr>
            <w:tcW w:type="dxa" w:w="3266"/>
            <w:tcMar>
              <w:top w:type="dxa" w:w="60"/>
              <w:left w:type="dxa" w:w="80"/>
              <w:bottom w:type="dxa" w:w="60"/>
              <w:right w:type="dxa" w:w="80"/>
            </w:tcMar>
          </w:tcPr>
          <w:p>
            <w:pPr>
              <w:spacing w:after="0" w:line="240"/>
              <w:jc w:val="center"/>
            </w:pPr>
            <w:r>
              <w:rPr>
                <w:b w:val="false"/>
                <w:bCs w:val="false"/>
                <w:sz w:val="20"/>
                <w:szCs w:val="20"/>
              </w:rPr>
              <w:t xml:space="preserve">η 85%, gaz ziemny</w:t>
            </w:r>
          </w:p>
        </w:tc>
      </w:tr>
    </w:tbl>
    <w:p>
      <w:pPr>
        <w:spacing w:after="200" w:before="80" w:line="240"/>
        <w:jc w:val="center"/>
      </w:pPr>
      <w:r>
        <w:rPr>
          <w:i/>
          <w:iCs/>
          <w:sz w:val="20"/>
          <w:szCs w:val="20"/>
        </w:rPr>
        <w:t xml:space="preserve">Tabela 4. Zestawienie komponentów przyjętych do modelu</w:t>
      </w:r>
    </w:p>
    <w:p>
      <w:pPr>
        <w:spacing w:after="120" w:before="0" w:line="360"/>
        <w:ind w:firstLine="566"/>
        <w:jc w:val="both"/>
      </w:pPr>
      <w:r>
        <w:rPr>
          <w:sz w:val="24"/>
          <w:szCs w:val="24"/>
        </w:rPr>
        <w:t xml:space="preserve">Parametry ekonomiczne: stopa dyskontowa 8%, inflacja 2%, okres analizy 25 lat, cena energii z sieci 0,220 $/kWh, cena odsprzedaży 0,090 $/kWh, cena gazu ziemnego 0,65 $/m³, cena oleju napędowego 1,55 $/L.</w:t>
      </w:r>
    </w:p>
    <w:p>
      <w:pPr>
        <w:spacing w:after="120" w:before="0" w:line="360"/>
        <w:ind w:firstLine="566"/>
        <w:jc w:val="both"/>
      </w:pPr>
      <w:r>
        <w:rPr>
          <w:sz w:val="24"/>
          <w:szCs w:val="24"/>
        </w:rPr>
        <w:t xml:space="preserve">Moc instalacji fotowoltaicznej ograniczono do zbioru {0; 100; 150; 200; 250} kW, zgodnie z szacowaną powierzchnią stropodachu wynoszącą 1 000–1 500 m².</w:t>
      </w:r>
    </w:p>
    <w:p>
      <w:r>
        <w:br w:type="page"/>
      </w:r>
    </w:p>
    <w:p>
      <w:pPr>
        <w:pStyle w:val="Heading1"/>
        <w:spacing w:after="240" w:before="240" w:line="360"/>
      </w:pPr>
      <w:r>
        <w:rPr>
          <w:b/>
          <w:bCs/>
          <w:sz w:val="28"/>
          <w:szCs w:val="28"/>
        </w:rPr>
        <w:t xml:space="preserve">2. Zakres analizy</w:t>
      </w:r>
    </w:p>
    <w:p>
      <w:pPr>
        <w:pStyle w:val="Heading2"/>
        <w:spacing w:after="180" w:before="240" w:line="360"/>
      </w:pPr>
      <w:r>
        <w:rPr>
          <w:b/>
          <w:bCs/>
          <w:sz w:val="28"/>
          <w:szCs w:val="28"/>
        </w:rPr>
        <w:t xml:space="preserve">2.1. Konfiguracje systemu</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1996"/>
        <w:gridCol w:w="7077"/>
      </w:tblGrid>
      <w:tr>
        <w:trPr>
          <w:tblHeader/>
        </w:trPr>
        <w:tc>
          <w:tcPr>
            <w:tcW w:type="dxa" w:w="1996"/>
            <w:shd w:fill="D9E2F3" w:val="clear"/>
            <w:tcMar>
              <w:top w:type="dxa" w:w="60"/>
              <w:left w:type="dxa" w:w="80"/>
              <w:bottom w:type="dxa" w:w="60"/>
              <w:right w:type="dxa" w:w="80"/>
            </w:tcMar>
          </w:tcPr>
          <w:p>
            <w:pPr>
              <w:spacing w:after="0" w:line="240"/>
              <w:jc w:val="left"/>
            </w:pPr>
            <w:r>
              <w:rPr>
                <w:b/>
                <w:bCs/>
                <w:sz w:val="20"/>
                <w:szCs w:val="20"/>
              </w:rPr>
              <w:t xml:space="preserve">Oznaczenie</w:t>
            </w:r>
          </w:p>
        </w:tc>
        <w:tc>
          <w:tcPr>
            <w:tcW w:type="dxa" w:w="7077"/>
            <w:shd w:fill="D9E2F3" w:val="clear"/>
            <w:tcMar>
              <w:top w:type="dxa" w:w="60"/>
              <w:left w:type="dxa" w:w="80"/>
              <w:bottom w:type="dxa" w:w="60"/>
              <w:right w:type="dxa" w:w="80"/>
            </w:tcMar>
          </w:tcPr>
          <w:p>
            <w:pPr>
              <w:spacing w:after="0" w:line="240"/>
              <w:jc w:val="center"/>
            </w:pPr>
            <w:r>
              <w:rPr>
                <w:b/>
                <w:bCs/>
                <w:sz w:val="20"/>
                <w:szCs w:val="20"/>
              </w:rPr>
              <w:t xml:space="preserve">Architektura</w:t>
            </w:r>
          </w:p>
        </w:tc>
      </w:tr>
      <w:tr>
        <w:trPr>
          <w:tblHeader w:val="false"/>
        </w:trPr>
        <w:tc>
          <w:tcPr>
            <w:tcW w:type="dxa" w:w="1996"/>
            <w:tcMar>
              <w:top w:type="dxa" w:w="60"/>
              <w:left w:type="dxa" w:w="80"/>
              <w:bottom w:type="dxa" w:w="60"/>
              <w:right w:type="dxa" w:w="80"/>
            </w:tcMar>
          </w:tcPr>
          <w:p>
            <w:pPr>
              <w:spacing w:after="0" w:line="240"/>
              <w:jc w:val="left"/>
            </w:pPr>
            <w:r>
              <w:rPr>
                <w:sz w:val="20"/>
                <w:szCs w:val="20"/>
              </w:rPr>
              <w:t xml:space="preserve">K1 — Baza</w:t>
            </w:r>
          </w:p>
        </w:tc>
        <w:tc>
          <w:tcPr>
            <w:tcW w:type="dxa" w:w="7077"/>
            <w:tcMar>
              <w:top w:type="dxa" w:w="60"/>
              <w:left w:type="dxa" w:w="80"/>
              <w:bottom w:type="dxa" w:w="60"/>
              <w:right w:type="dxa" w:w="80"/>
            </w:tcMar>
          </w:tcPr>
          <w:p>
            <w:pPr>
              <w:spacing w:after="0" w:line="240"/>
              <w:jc w:val="center"/>
            </w:pPr>
            <w:r>
              <w:rPr>
                <w:sz w:val="20"/>
                <w:szCs w:val="20"/>
              </w:rPr>
              <w:t xml:space="preserve">Sieć elektroenergetyczna + agregat prądotwórczy (Diesel)</w:t>
            </w:r>
          </w:p>
        </w:tc>
      </w:tr>
      <w:tr>
        <w:trPr>
          <w:tblHeader w:val="false"/>
        </w:trPr>
        <w:tc>
          <w:tcPr>
            <w:tcW w:type="dxa" w:w="1996"/>
            <w:tcMar>
              <w:top w:type="dxa" w:w="60"/>
              <w:left w:type="dxa" w:w="80"/>
              <w:bottom w:type="dxa" w:w="60"/>
              <w:right w:type="dxa" w:w="80"/>
            </w:tcMar>
          </w:tcPr>
          <w:p>
            <w:pPr>
              <w:spacing w:after="0" w:line="240"/>
              <w:jc w:val="left"/>
            </w:pPr>
            <w:r>
              <w:rPr>
                <w:sz w:val="20"/>
                <w:szCs w:val="20"/>
              </w:rPr>
              <w:t xml:space="preserve">K2 — Hybryda</w:t>
            </w:r>
          </w:p>
        </w:tc>
        <w:tc>
          <w:tcPr>
            <w:tcW w:type="dxa" w:w="7077"/>
            <w:tcMar>
              <w:top w:type="dxa" w:w="60"/>
              <w:left w:type="dxa" w:w="80"/>
              <w:bottom w:type="dxa" w:w="60"/>
              <w:right w:type="dxa" w:w="80"/>
            </w:tcMar>
          </w:tcPr>
          <w:p>
            <w:pPr>
              <w:spacing w:after="0" w:line="240"/>
              <w:jc w:val="center"/>
            </w:pPr>
            <w:r>
              <w:rPr>
                <w:sz w:val="20"/>
                <w:szCs w:val="20"/>
              </w:rPr>
              <w:t xml:space="preserve">Sieć + agregat + PV + magazyn energii BESS</w:t>
            </w:r>
          </w:p>
        </w:tc>
      </w:tr>
      <w:tr>
        <w:trPr>
          <w:tblHeader w:val="false"/>
        </w:trPr>
        <w:tc>
          <w:tcPr>
            <w:tcW w:type="dxa" w:w="1996"/>
            <w:tcMar>
              <w:top w:type="dxa" w:w="60"/>
              <w:left w:type="dxa" w:w="80"/>
              <w:bottom w:type="dxa" w:w="60"/>
              <w:right w:type="dxa" w:w="80"/>
            </w:tcMar>
          </w:tcPr>
          <w:p>
            <w:pPr>
              <w:spacing w:after="0" w:line="240"/>
              <w:jc w:val="left"/>
            </w:pPr>
            <w:r>
              <w:rPr>
                <w:sz w:val="20"/>
                <w:szCs w:val="20"/>
              </w:rPr>
              <w:t xml:space="preserve">K3 — Mikrosieć</w:t>
            </w:r>
          </w:p>
        </w:tc>
        <w:tc>
          <w:tcPr>
            <w:tcW w:type="dxa" w:w="7077"/>
            <w:tcMar>
              <w:top w:type="dxa" w:w="60"/>
              <w:left w:type="dxa" w:w="80"/>
              <w:bottom w:type="dxa" w:w="60"/>
              <w:right w:type="dxa" w:w="80"/>
            </w:tcMar>
          </w:tcPr>
          <w:p>
            <w:pPr>
              <w:spacing w:after="0" w:line="240"/>
              <w:jc w:val="center"/>
            </w:pPr>
            <w:r>
              <w:rPr>
                <w:sz w:val="20"/>
                <w:szCs w:val="20"/>
              </w:rPr>
              <w:t xml:space="preserve">Sieć + PV + BESS + kogeneracja gazowa + kocioł szczytowy</w:t>
            </w:r>
          </w:p>
        </w:tc>
      </w:tr>
    </w:tbl>
    <w:p>
      <w:pPr>
        <w:spacing w:after="200" w:before="80" w:line="240"/>
        <w:jc w:val="center"/>
      </w:pPr>
      <w:r>
        <w:rPr>
          <w:i/>
          <w:iCs/>
          <w:sz w:val="20"/>
          <w:szCs w:val="20"/>
        </w:rPr>
        <w:t xml:space="preserve">Tabela 5. Analizowane konfiguracje systemu zasilania</w:t>
      </w:r>
    </w:p>
    <w:p>
      <w:pPr>
        <w:pStyle w:val="Heading2"/>
        <w:spacing w:after="180" w:before="240" w:line="360"/>
      </w:pPr>
      <w:r>
        <w:rPr>
          <w:b/>
          <w:bCs/>
          <w:sz w:val="28"/>
          <w:szCs w:val="28"/>
        </w:rPr>
        <w:t xml:space="preserve">2.2. Warianty awarii sieci nadrzędnej</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1815"/>
        <w:gridCol w:w="3992"/>
        <w:gridCol w:w="3266"/>
      </w:tblGrid>
      <w:tr>
        <w:trPr>
          <w:tblHeader/>
        </w:trPr>
        <w:tc>
          <w:tcPr>
            <w:tcW w:type="dxa" w:w="1815"/>
            <w:shd w:fill="D9E2F3" w:val="clear"/>
            <w:tcMar>
              <w:top w:type="dxa" w:w="60"/>
              <w:left w:type="dxa" w:w="80"/>
              <w:bottom w:type="dxa" w:w="60"/>
              <w:right w:type="dxa" w:w="80"/>
            </w:tcMar>
          </w:tcPr>
          <w:p>
            <w:pPr>
              <w:spacing w:after="0" w:line="240"/>
              <w:jc w:val="left"/>
            </w:pPr>
            <w:r>
              <w:rPr>
                <w:b/>
                <w:bCs/>
                <w:sz w:val="20"/>
                <w:szCs w:val="20"/>
              </w:rPr>
              <w:t xml:space="preserve">Wariant</w:t>
            </w:r>
          </w:p>
        </w:tc>
        <w:tc>
          <w:tcPr>
            <w:tcW w:type="dxa" w:w="3992"/>
            <w:shd w:fill="D9E2F3" w:val="clear"/>
            <w:tcMar>
              <w:top w:type="dxa" w:w="60"/>
              <w:left w:type="dxa" w:w="80"/>
              <w:bottom w:type="dxa" w:w="60"/>
              <w:right w:type="dxa" w:w="80"/>
            </w:tcMar>
          </w:tcPr>
          <w:p>
            <w:pPr>
              <w:spacing w:after="0" w:line="240"/>
              <w:jc w:val="center"/>
            </w:pPr>
            <w:r>
              <w:rPr>
                <w:b/>
                <w:bCs/>
                <w:sz w:val="20"/>
                <w:szCs w:val="20"/>
              </w:rPr>
              <w:t xml:space="preserve">Charakterystyka</w:t>
            </w:r>
          </w:p>
        </w:tc>
        <w:tc>
          <w:tcPr>
            <w:tcW w:type="dxa" w:w="3266"/>
            <w:shd w:fill="D9E2F3" w:val="clear"/>
            <w:tcMar>
              <w:top w:type="dxa" w:w="60"/>
              <w:left w:type="dxa" w:w="80"/>
              <w:bottom w:type="dxa" w:w="60"/>
              <w:right w:type="dxa" w:w="80"/>
            </w:tcMar>
          </w:tcPr>
          <w:p>
            <w:pPr>
              <w:spacing w:after="0" w:line="240"/>
              <w:jc w:val="center"/>
            </w:pPr>
            <w:r>
              <w:rPr>
                <w:b/>
                <w:bCs/>
                <w:sz w:val="20"/>
                <w:szCs w:val="20"/>
              </w:rPr>
              <w:t xml:space="preserve">Parametry</w:t>
            </w:r>
          </w:p>
        </w:tc>
      </w:tr>
      <w:tr>
        <w:trPr>
          <w:tblHeader w:val="false"/>
        </w:trPr>
        <w:tc>
          <w:tcPr>
            <w:tcW w:type="dxa" w:w="1815"/>
            <w:tcMar>
              <w:top w:type="dxa" w:w="60"/>
              <w:left w:type="dxa" w:w="80"/>
              <w:bottom w:type="dxa" w:w="60"/>
              <w:right w:type="dxa" w:w="80"/>
            </w:tcMar>
          </w:tcPr>
          <w:p>
            <w:pPr>
              <w:spacing w:after="0" w:line="240"/>
              <w:jc w:val="left"/>
            </w:pPr>
            <w:r>
              <w:rPr>
                <w:sz w:val="20"/>
                <w:szCs w:val="20"/>
              </w:rPr>
              <w:t xml:space="preserve">A0</w:t>
            </w:r>
          </w:p>
        </w:tc>
        <w:tc>
          <w:tcPr>
            <w:tcW w:type="dxa" w:w="3992"/>
            <w:tcMar>
              <w:top w:type="dxa" w:w="60"/>
              <w:left w:type="dxa" w:w="80"/>
              <w:bottom w:type="dxa" w:w="60"/>
              <w:right w:type="dxa" w:w="80"/>
            </w:tcMar>
          </w:tcPr>
          <w:p>
            <w:pPr>
              <w:spacing w:after="0" w:line="240"/>
              <w:jc w:val="center"/>
            </w:pPr>
            <w:r>
              <w:rPr>
                <w:sz w:val="20"/>
                <w:szCs w:val="20"/>
              </w:rPr>
              <w:t xml:space="preserve">Praca normalna — brak awarii</w:t>
            </w:r>
          </w:p>
        </w:tc>
        <w:tc>
          <w:tcPr>
            <w:tcW w:type="dxa" w:w="3266"/>
            <w:tcMar>
              <w:top w:type="dxa" w:w="60"/>
              <w:left w:type="dxa" w:w="80"/>
              <w:bottom w:type="dxa" w:w="60"/>
              <w:right w:type="dxa" w:w="80"/>
            </w:tcMar>
          </w:tcPr>
          <w:p>
            <w:pPr>
              <w:spacing w:after="0" w:line="240"/>
              <w:jc w:val="center"/>
            </w:pPr>
            <w:r>
              <w:rPr>
                <w:sz w:val="20"/>
                <w:szCs w:val="20"/>
              </w:rPr>
              <w:t xml:space="preserve">—</w:t>
            </w:r>
          </w:p>
        </w:tc>
      </w:tr>
      <w:tr>
        <w:trPr>
          <w:tblHeader w:val="false"/>
        </w:trPr>
        <w:tc>
          <w:tcPr>
            <w:tcW w:type="dxa" w:w="1815"/>
            <w:tcMar>
              <w:top w:type="dxa" w:w="60"/>
              <w:left w:type="dxa" w:w="80"/>
              <w:bottom w:type="dxa" w:w="60"/>
              <w:right w:type="dxa" w:w="80"/>
            </w:tcMar>
          </w:tcPr>
          <w:p>
            <w:pPr>
              <w:spacing w:after="0" w:line="240"/>
              <w:jc w:val="left"/>
            </w:pPr>
            <w:r>
              <w:rPr>
                <w:sz w:val="20"/>
                <w:szCs w:val="20"/>
              </w:rPr>
              <w:t xml:space="preserve">A1 — Black-sky</w:t>
            </w:r>
          </w:p>
        </w:tc>
        <w:tc>
          <w:tcPr>
            <w:tcW w:type="dxa" w:w="3992"/>
            <w:tcMar>
              <w:top w:type="dxa" w:w="60"/>
              <w:left w:type="dxa" w:w="80"/>
              <w:bottom w:type="dxa" w:w="60"/>
              <w:right w:type="dxa" w:w="80"/>
            </w:tcMar>
          </w:tcPr>
          <w:p>
            <w:pPr>
              <w:spacing w:after="0" w:line="240"/>
              <w:jc w:val="center"/>
            </w:pPr>
            <w:r>
              <w:rPr>
                <w:sz w:val="20"/>
                <w:szCs w:val="20"/>
              </w:rPr>
              <w:t xml:space="preserve">Pojedyncza awaria długotrwała, 15–17 stycznia</w:t>
            </w:r>
          </w:p>
        </w:tc>
        <w:tc>
          <w:tcPr>
            <w:tcW w:type="dxa" w:w="3266"/>
            <w:tcMar>
              <w:top w:type="dxa" w:w="60"/>
              <w:left w:type="dxa" w:w="80"/>
              <w:bottom w:type="dxa" w:w="60"/>
              <w:right w:type="dxa" w:w="80"/>
            </w:tcMar>
          </w:tcPr>
          <w:p>
            <w:pPr>
              <w:spacing w:after="0" w:line="240"/>
              <w:jc w:val="center"/>
            </w:pPr>
            <w:r>
              <w:rPr>
                <w:sz w:val="20"/>
                <w:szCs w:val="20"/>
              </w:rPr>
              <w:t xml:space="preserve">72 h</w:t>
            </w:r>
          </w:p>
        </w:tc>
      </w:tr>
      <w:tr>
        <w:trPr>
          <w:tblHeader w:val="false"/>
        </w:trPr>
        <w:tc>
          <w:tcPr>
            <w:tcW w:type="dxa" w:w="1815"/>
            <w:tcMar>
              <w:top w:type="dxa" w:w="60"/>
              <w:left w:type="dxa" w:w="80"/>
              <w:bottom w:type="dxa" w:w="60"/>
              <w:right w:type="dxa" w:w="80"/>
            </w:tcMar>
          </w:tcPr>
          <w:p>
            <w:pPr>
              <w:spacing w:after="0" w:line="240"/>
              <w:jc w:val="left"/>
            </w:pPr>
            <w:r>
              <w:rPr>
                <w:sz w:val="20"/>
                <w:szCs w:val="20"/>
              </w:rPr>
              <w:t xml:space="preserve">A2 — Serie krótkie</w:t>
            </w:r>
          </w:p>
        </w:tc>
        <w:tc>
          <w:tcPr>
            <w:tcW w:type="dxa" w:w="3992"/>
            <w:tcMar>
              <w:top w:type="dxa" w:w="60"/>
              <w:left w:type="dxa" w:w="80"/>
              <w:bottom w:type="dxa" w:w="60"/>
              <w:right w:type="dxa" w:w="80"/>
            </w:tcMar>
          </w:tcPr>
          <w:p>
            <w:pPr>
              <w:spacing w:after="0" w:line="240"/>
              <w:jc w:val="center"/>
            </w:pPr>
            <w:r>
              <w:rPr>
                <w:sz w:val="20"/>
                <w:szCs w:val="20"/>
              </w:rPr>
              <w:t xml:space="preserve">Pięć przerw rozłożonych w ciągu roku</w:t>
            </w:r>
          </w:p>
        </w:tc>
        <w:tc>
          <w:tcPr>
            <w:tcW w:type="dxa" w:w="3266"/>
            <w:tcMar>
              <w:top w:type="dxa" w:w="60"/>
              <w:left w:type="dxa" w:w="80"/>
              <w:bottom w:type="dxa" w:w="60"/>
              <w:right w:type="dxa" w:w="80"/>
            </w:tcMar>
          </w:tcPr>
          <w:p>
            <w:pPr>
              <w:spacing w:after="0" w:line="240"/>
              <w:jc w:val="center"/>
            </w:pPr>
            <w:r>
              <w:rPr>
                <w:sz w:val="20"/>
                <w:szCs w:val="20"/>
              </w:rPr>
              <w:t xml:space="preserve">łącznie 21 h; SAIDI 1260 min, SAIFI 5/rok</w:t>
            </w:r>
          </w:p>
        </w:tc>
      </w:tr>
    </w:tbl>
    <w:p>
      <w:pPr>
        <w:spacing w:after="200" w:before="80" w:line="240"/>
        <w:jc w:val="center"/>
      </w:pPr>
      <w:r>
        <w:rPr>
          <w:i/>
          <w:iCs/>
          <w:sz w:val="20"/>
          <w:szCs w:val="20"/>
        </w:rPr>
        <w:t xml:space="preserve">Tabela 6. Warianty awarii przyjęte do analizy</w:t>
      </w:r>
    </w:p>
    <w:p>
      <w:pPr>
        <w:spacing w:after="120" w:before="0" w:line="360"/>
        <w:ind w:firstLine="566"/>
        <w:jc w:val="both"/>
      </w:pPr>
      <w:r>
        <w:rPr>
          <w:sz w:val="24"/>
          <w:szCs w:val="24"/>
        </w:rPr>
        <w:t xml:space="preserve">Wariant A1 odwzorowuje zdarzenie klasy black-sky hazard — katastrofalną awarię systemową o niskim prawdopodobieństwie i wysokim wpływie. Termin styczniowy przyjęto celowo jako przypadek najbardziej niekorzystny: przy minimalnym zasobie słonecznym i maksymalnym obciążeniu cieplnym.</w:t>
      </w:r>
    </w:p>
    <w:p>
      <w:pPr>
        <w:spacing w:after="120" w:before="0" w:line="360"/>
        <w:ind w:firstLine="566"/>
        <w:jc w:val="both"/>
      </w:pPr>
      <w:r>
        <w:rPr>
          <w:sz w:val="24"/>
          <w:szCs w:val="24"/>
        </w:rPr>
        <w:t xml:space="preserve">Wariant A2 odwzorowuje statystykę polskich sieci dystrybucyjnych — przerwy o czasie trwania 2–7 godzin, rozłożone w miesiącach: styczeń, marzec, czerwiec, wrzesień i listopad.</w:t>
      </w:r>
    </w:p>
    <w:p>
      <w:pPr>
        <w:spacing w:after="120" w:before="0" w:line="360"/>
        <w:ind w:firstLine="566"/>
        <w:jc w:val="both"/>
      </w:pPr>
      <w:r>
        <w:rPr>
          <w:sz w:val="24"/>
          <w:szCs w:val="24"/>
        </w:rPr>
        <w:t xml:space="preserve">Zdarzenia awaryjne zamodelowano poprzez import szeregów czasowych do modułu Grid → Scheduled Rates → Reliability. W obu wariantach awaryjnych dopuszczalny niedobór mocy podniesiono z 0% na 10% — przy wartości zerowej optymalizator odrzuca wszystkie konfiguracje jako niedopuszczalne, uniemożliwiając pomiar skali niedoboru.</w:t>
      </w:r>
    </w:p>
    <w:p>
      <w:r>
        <w:br w:type="page"/>
      </w:r>
    </w:p>
    <w:p>
      <w:pPr>
        <w:pStyle w:val="Heading1"/>
        <w:spacing w:after="240" w:before="240" w:line="360"/>
      </w:pPr>
      <w:r>
        <w:rPr>
          <w:b/>
          <w:bCs/>
          <w:sz w:val="28"/>
          <w:szCs w:val="28"/>
        </w:rPr>
        <w:t xml:space="preserve">3. Wyniki — wariant A0 (praca normalna)</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722"/>
        <w:gridCol w:w="1270"/>
        <w:gridCol w:w="1452"/>
        <w:gridCol w:w="1452"/>
        <w:gridCol w:w="1089"/>
        <w:gridCol w:w="1089"/>
      </w:tblGrid>
      <w:tr>
        <w:trPr>
          <w:tblHeader/>
        </w:trPr>
        <w:tc>
          <w:tcPr>
            <w:tcW w:type="dxa" w:w="2722"/>
            <w:shd w:fill="D9E2F3" w:val="clear"/>
            <w:tcMar>
              <w:top w:type="dxa" w:w="60"/>
              <w:left w:type="dxa" w:w="80"/>
              <w:bottom w:type="dxa" w:w="60"/>
              <w:right w:type="dxa" w:w="80"/>
            </w:tcMar>
          </w:tcPr>
          <w:p>
            <w:pPr>
              <w:spacing w:after="0" w:line="240"/>
              <w:jc w:val="left"/>
            </w:pPr>
            <w:r>
              <w:rPr>
                <w:b/>
                <w:bCs/>
                <w:sz w:val="20"/>
                <w:szCs w:val="20"/>
              </w:rPr>
              <w:t xml:space="preserve">Konfiguracja</w:t>
            </w:r>
          </w:p>
        </w:tc>
        <w:tc>
          <w:tcPr>
            <w:tcW w:type="dxa" w:w="1270"/>
            <w:shd w:fill="D9E2F3" w:val="clear"/>
            <w:tcMar>
              <w:top w:type="dxa" w:w="60"/>
              <w:left w:type="dxa" w:w="80"/>
              <w:bottom w:type="dxa" w:w="60"/>
              <w:right w:type="dxa" w:w="80"/>
            </w:tcMar>
          </w:tcPr>
          <w:p>
            <w:pPr>
              <w:spacing w:after="0" w:line="240"/>
              <w:jc w:val="center"/>
            </w:pPr>
            <w:r>
              <w:rPr>
                <w:b/>
                <w:bCs/>
                <w:sz w:val="20"/>
                <w:szCs w:val="20"/>
              </w:rPr>
              <w:t xml:space="preserve">NPC</w:t>
            </w:r>
          </w:p>
        </w:tc>
        <w:tc>
          <w:tcPr>
            <w:tcW w:type="dxa" w:w="1452"/>
            <w:shd w:fill="D9E2F3" w:val="clear"/>
            <w:tcMar>
              <w:top w:type="dxa" w:w="60"/>
              <w:left w:type="dxa" w:w="80"/>
              <w:bottom w:type="dxa" w:w="60"/>
              <w:right w:type="dxa" w:w="80"/>
            </w:tcMar>
          </w:tcPr>
          <w:p>
            <w:pPr>
              <w:spacing w:after="0" w:line="240"/>
              <w:jc w:val="center"/>
            </w:pPr>
            <w:r>
              <w:rPr>
                <w:b/>
                <w:bCs/>
                <w:sz w:val="20"/>
                <w:szCs w:val="20"/>
              </w:rPr>
              <w:t xml:space="preserve">LCOE [$/kWh]</w:t>
            </w:r>
          </w:p>
        </w:tc>
        <w:tc>
          <w:tcPr>
            <w:tcW w:type="dxa" w:w="1452"/>
            <w:shd w:fill="D9E2F3" w:val="clear"/>
            <w:tcMar>
              <w:top w:type="dxa" w:w="60"/>
              <w:left w:type="dxa" w:w="80"/>
              <w:bottom w:type="dxa" w:w="60"/>
              <w:right w:type="dxa" w:w="80"/>
            </w:tcMar>
          </w:tcPr>
          <w:p>
            <w:pPr>
              <w:spacing w:after="0" w:line="240"/>
              <w:jc w:val="center"/>
            </w:pPr>
            <w:r>
              <w:rPr>
                <w:b/>
                <w:bCs/>
                <w:sz w:val="20"/>
                <w:szCs w:val="20"/>
              </w:rPr>
              <w:t xml:space="preserve">CAPEX</w:t>
            </w:r>
          </w:p>
        </w:tc>
        <w:tc>
          <w:tcPr>
            <w:tcW w:type="dxa" w:w="1089"/>
            <w:shd w:fill="D9E2F3" w:val="clear"/>
            <w:tcMar>
              <w:top w:type="dxa" w:w="60"/>
              <w:left w:type="dxa" w:w="80"/>
              <w:bottom w:type="dxa" w:w="60"/>
              <w:right w:type="dxa" w:w="80"/>
            </w:tcMar>
          </w:tcPr>
          <w:p>
            <w:pPr>
              <w:spacing w:after="0" w:line="240"/>
              <w:jc w:val="center"/>
            </w:pPr>
            <w:r>
              <w:rPr>
                <w:b/>
                <w:bCs/>
                <w:sz w:val="20"/>
                <w:szCs w:val="20"/>
              </w:rPr>
              <w:t xml:space="preserve">Udział OZE</w:t>
            </w:r>
          </w:p>
        </w:tc>
        <w:tc>
          <w:tcPr>
            <w:tcW w:type="dxa" w:w="1089"/>
            <w:shd w:fill="D9E2F3" w:val="clear"/>
            <w:tcMar>
              <w:top w:type="dxa" w:w="60"/>
              <w:left w:type="dxa" w:w="80"/>
              <w:bottom w:type="dxa" w:w="60"/>
              <w:right w:type="dxa" w:w="80"/>
            </w:tcMar>
          </w:tcPr>
          <w:p>
            <w:pPr>
              <w:spacing w:after="0" w:line="240"/>
              <w:jc w:val="center"/>
            </w:pPr>
            <w:r>
              <w:rPr>
                <w:b/>
                <w:bCs/>
                <w:sz w:val="20"/>
                <w:szCs w:val="20"/>
              </w:rPr>
              <w:t xml:space="preserve">Zwrot</w:t>
            </w:r>
          </w:p>
        </w:tc>
      </w:tr>
      <w:tr>
        <w:trPr>
          <w:tblHeader w:val="false"/>
        </w:trPr>
        <w:tc>
          <w:tcPr>
            <w:tcW w:type="dxa" w:w="2722"/>
            <w:tcMar>
              <w:top w:type="dxa" w:w="60"/>
              <w:left w:type="dxa" w:w="80"/>
              <w:bottom w:type="dxa" w:w="60"/>
              <w:right w:type="dxa" w:w="80"/>
            </w:tcMar>
          </w:tcPr>
          <w:p>
            <w:pPr>
              <w:spacing w:after="0" w:line="240"/>
              <w:jc w:val="left"/>
            </w:pPr>
            <w:r>
              <w:rPr>
                <w:b w:val="false"/>
                <w:bCs w:val="false"/>
                <w:sz w:val="20"/>
                <w:szCs w:val="20"/>
              </w:rPr>
              <w:t xml:space="preserve">K1 — sama sieć (odniesienie)</w:t>
            </w:r>
          </w:p>
        </w:tc>
        <w:tc>
          <w:tcPr>
            <w:tcW w:type="dxa" w:w="1270"/>
            <w:tcMar>
              <w:top w:type="dxa" w:w="60"/>
              <w:left w:type="dxa" w:w="80"/>
              <w:bottom w:type="dxa" w:w="60"/>
              <w:right w:type="dxa" w:w="80"/>
            </w:tcMar>
          </w:tcPr>
          <w:p>
            <w:pPr>
              <w:spacing w:after="0" w:line="240"/>
              <w:jc w:val="center"/>
            </w:pPr>
            <w:r>
              <w:rPr>
                <w:b w:val="false"/>
                <w:bCs w:val="false"/>
                <w:sz w:val="20"/>
                <w:szCs w:val="20"/>
              </w:rPr>
              <w:t xml:space="preserve">2,84 M$</w:t>
            </w:r>
          </w:p>
        </w:tc>
        <w:tc>
          <w:tcPr>
            <w:tcW w:type="dxa" w:w="1452"/>
            <w:tcMar>
              <w:top w:type="dxa" w:w="60"/>
              <w:left w:type="dxa" w:w="80"/>
              <w:bottom w:type="dxa" w:w="60"/>
              <w:right w:type="dxa" w:w="80"/>
            </w:tcMar>
          </w:tcPr>
          <w:p>
            <w:pPr>
              <w:spacing w:after="0" w:line="240"/>
              <w:jc w:val="center"/>
            </w:pPr>
            <w:r>
              <w:rPr>
                <w:b w:val="false"/>
                <w:bCs w:val="false"/>
                <w:sz w:val="20"/>
                <w:szCs w:val="20"/>
              </w:rPr>
              <w:t xml:space="preserve">0,220</w:t>
            </w:r>
          </w:p>
        </w:tc>
        <w:tc>
          <w:tcPr>
            <w:tcW w:type="dxa" w:w="1452"/>
            <w:tcMar>
              <w:top w:type="dxa" w:w="60"/>
              <w:left w:type="dxa" w:w="80"/>
              <w:bottom w:type="dxa" w:w="60"/>
              <w:right w:type="dxa" w:w="80"/>
            </w:tcMar>
          </w:tcPr>
          <w:p>
            <w:pPr>
              <w:spacing w:after="0" w:line="240"/>
              <w:jc w:val="center"/>
            </w:pPr>
            <w:r>
              <w:rPr>
                <w:b w:val="false"/>
                <w:bCs w:val="false"/>
                <w:sz w:val="20"/>
                <w:szCs w:val="20"/>
              </w:rPr>
              <w:t xml:space="preserve">0 $</w:t>
            </w:r>
          </w:p>
        </w:tc>
        <w:tc>
          <w:tcPr>
            <w:tcW w:type="dxa" w:w="1089"/>
            <w:tcMar>
              <w:top w:type="dxa" w:w="60"/>
              <w:left w:type="dxa" w:w="80"/>
              <w:bottom w:type="dxa" w:w="60"/>
              <w:right w:type="dxa" w:w="80"/>
            </w:tcMar>
          </w:tcPr>
          <w:p>
            <w:pPr>
              <w:spacing w:after="0" w:line="240"/>
              <w:jc w:val="center"/>
            </w:pPr>
            <w:r>
              <w:rPr>
                <w:b w:val="false"/>
                <w:bCs w:val="false"/>
                <w:sz w:val="20"/>
                <w:szCs w:val="20"/>
              </w:rPr>
              <w:t xml:space="preserve">0%</w:t>
            </w:r>
          </w:p>
        </w:tc>
        <w:tc>
          <w:tcPr>
            <w:tcW w:type="dxa" w:w="1089"/>
            <w:tcMar>
              <w:top w:type="dxa" w:w="60"/>
              <w:left w:type="dxa" w:w="80"/>
              <w:bottom w:type="dxa" w:w="60"/>
              <w:right w:type="dxa" w:w="80"/>
            </w:tcMar>
          </w:tcPr>
          <w:p>
            <w:pPr>
              <w:spacing w:after="0" w:line="240"/>
              <w:jc w:val="center"/>
            </w:pPr>
            <w:r>
              <w:rPr>
                <w:b w:val="false"/>
                <w:bCs w:val="false"/>
                <w:sz w:val="20"/>
                <w:szCs w:val="20"/>
              </w:rPr>
              <w:t xml:space="preserve">—</w:t>
            </w:r>
          </w:p>
        </w:tc>
      </w:tr>
      <w:tr>
        <w:trPr>
          <w:tblHeader w:val="false"/>
        </w:trPr>
        <w:tc>
          <w:tcPr>
            <w:tcW w:type="dxa" w:w="2722"/>
            <w:tcMar>
              <w:top w:type="dxa" w:w="60"/>
              <w:left w:type="dxa" w:w="80"/>
              <w:bottom w:type="dxa" w:w="60"/>
              <w:right w:type="dxa" w:w="80"/>
            </w:tcMar>
          </w:tcPr>
          <w:p>
            <w:pPr>
              <w:spacing w:after="0" w:line="240"/>
              <w:jc w:val="left"/>
            </w:pPr>
            <w:r>
              <w:rPr>
                <w:b w:val="false"/>
                <w:bCs w:val="false"/>
                <w:sz w:val="20"/>
                <w:szCs w:val="20"/>
              </w:rPr>
              <w:t xml:space="preserve">K1 — sieć + agregat 180 kW</w:t>
            </w:r>
          </w:p>
        </w:tc>
        <w:tc>
          <w:tcPr>
            <w:tcW w:type="dxa" w:w="1270"/>
            <w:tcMar>
              <w:top w:type="dxa" w:w="60"/>
              <w:left w:type="dxa" w:w="80"/>
              <w:bottom w:type="dxa" w:w="60"/>
              <w:right w:type="dxa" w:w="80"/>
            </w:tcMar>
          </w:tcPr>
          <w:p>
            <w:pPr>
              <w:spacing w:after="0" w:line="240"/>
              <w:jc w:val="center"/>
            </w:pPr>
            <w:r>
              <w:rPr>
                <w:b w:val="false"/>
                <w:bCs w:val="false"/>
                <w:sz w:val="20"/>
                <w:szCs w:val="20"/>
              </w:rPr>
              <w:t xml:space="preserve">2,91 M$</w:t>
            </w:r>
          </w:p>
        </w:tc>
        <w:tc>
          <w:tcPr>
            <w:tcW w:type="dxa" w:w="1452"/>
            <w:tcMar>
              <w:top w:type="dxa" w:w="60"/>
              <w:left w:type="dxa" w:w="80"/>
              <w:bottom w:type="dxa" w:w="60"/>
              <w:right w:type="dxa" w:w="80"/>
            </w:tcMar>
          </w:tcPr>
          <w:p>
            <w:pPr>
              <w:spacing w:after="0" w:line="240"/>
              <w:jc w:val="center"/>
            </w:pPr>
            <w:r>
              <w:rPr>
                <w:b w:val="false"/>
                <w:bCs w:val="false"/>
                <w:sz w:val="20"/>
                <w:szCs w:val="20"/>
              </w:rPr>
              <w:t xml:space="preserve">0,225</w:t>
            </w:r>
          </w:p>
        </w:tc>
        <w:tc>
          <w:tcPr>
            <w:tcW w:type="dxa" w:w="1452"/>
            <w:tcMar>
              <w:top w:type="dxa" w:w="60"/>
              <w:left w:type="dxa" w:w="80"/>
              <w:bottom w:type="dxa" w:w="60"/>
              <w:right w:type="dxa" w:w="80"/>
            </w:tcMar>
          </w:tcPr>
          <w:p>
            <w:pPr>
              <w:spacing w:after="0" w:line="240"/>
              <w:jc w:val="center"/>
            </w:pPr>
            <w:r>
              <w:rPr>
                <w:b w:val="false"/>
                <w:bCs w:val="false"/>
                <w:sz w:val="20"/>
                <w:szCs w:val="20"/>
              </w:rPr>
              <w:t xml:space="preserve">90 000 $</w:t>
            </w:r>
          </w:p>
        </w:tc>
        <w:tc>
          <w:tcPr>
            <w:tcW w:type="dxa" w:w="1089"/>
            <w:tcMar>
              <w:top w:type="dxa" w:w="60"/>
              <w:left w:type="dxa" w:w="80"/>
              <w:bottom w:type="dxa" w:w="60"/>
              <w:right w:type="dxa" w:w="80"/>
            </w:tcMar>
          </w:tcPr>
          <w:p>
            <w:pPr>
              <w:spacing w:after="0" w:line="240"/>
              <w:jc w:val="center"/>
            </w:pPr>
            <w:r>
              <w:rPr>
                <w:b w:val="false"/>
                <w:bCs w:val="false"/>
                <w:sz w:val="20"/>
                <w:szCs w:val="20"/>
              </w:rPr>
              <w:t xml:space="preserve">0%</w:t>
            </w:r>
          </w:p>
        </w:tc>
        <w:tc>
          <w:tcPr>
            <w:tcW w:type="dxa" w:w="1089"/>
            <w:tcMar>
              <w:top w:type="dxa" w:w="60"/>
              <w:left w:type="dxa" w:w="80"/>
              <w:bottom w:type="dxa" w:w="60"/>
              <w:right w:type="dxa" w:w="80"/>
            </w:tcMar>
          </w:tcPr>
          <w:p>
            <w:pPr>
              <w:spacing w:after="0" w:line="240"/>
              <w:jc w:val="center"/>
            </w:pPr>
            <w:r>
              <w:rPr>
                <w:b w:val="false"/>
                <w:bCs w:val="false"/>
                <w:sz w:val="20"/>
                <w:szCs w:val="20"/>
              </w:rPr>
              <w:t xml:space="preserve">—</w:t>
            </w:r>
          </w:p>
        </w:tc>
      </w:tr>
      <w:tr>
        <w:trPr>
          <w:tblHeader w:val="false"/>
        </w:trPr>
        <w:tc>
          <w:tcPr>
            <w:tcW w:type="dxa" w:w="2722"/>
            <w:shd w:fill="FFF2CC" w:val="clear"/>
            <w:tcMar>
              <w:top w:type="dxa" w:w="60"/>
              <w:left w:type="dxa" w:w="80"/>
              <w:bottom w:type="dxa" w:w="60"/>
              <w:right w:type="dxa" w:w="80"/>
            </w:tcMar>
          </w:tcPr>
          <w:p>
            <w:pPr>
              <w:spacing w:after="0" w:line="240"/>
              <w:jc w:val="left"/>
            </w:pPr>
            <w:r>
              <w:rPr>
                <w:b/>
                <w:bCs/>
                <w:sz w:val="20"/>
                <w:szCs w:val="20"/>
              </w:rPr>
              <w:t xml:space="preserve">K2 — PV 250 kW</w:t>
            </w:r>
          </w:p>
        </w:tc>
        <w:tc>
          <w:tcPr>
            <w:tcW w:type="dxa" w:w="1270"/>
            <w:shd w:fill="FFF2CC" w:val="clear"/>
            <w:tcMar>
              <w:top w:type="dxa" w:w="60"/>
              <w:left w:type="dxa" w:w="80"/>
              <w:bottom w:type="dxa" w:w="60"/>
              <w:right w:type="dxa" w:w="80"/>
            </w:tcMar>
          </w:tcPr>
          <w:p>
            <w:pPr>
              <w:spacing w:after="0" w:line="240"/>
              <w:jc w:val="center"/>
            </w:pPr>
            <w:r>
              <w:rPr>
                <w:b w:val="false"/>
                <w:bCs w:val="false"/>
                <w:sz w:val="20"/>
                <w:szCs w:val="20"/>
              </w:rPr>
              <w:t xml:space="preserve">2,54 M$</w:t>
            </w:r>
          </w:p>
        </w:tc>
        <w:tc>
          <w:tcPr>
            <w:tcW w:type="dxa" w:w="1452"/>
            <w:shd w:fill="FFF2CC" w:val="clear"/>
            <w:tcMar>
              <w:top w:type="dxa" w:w="60"/>
              <w:left w:type="dxa" w:w="80"/>
              <w:bottom w:type="dxa" w:w="60"/>
              <w:right w:type="dxa" w:w="80"/>
            </w:tcMar>
          </w:tcPr>
          <w:p>
            <w:pPr>
              <w:spacing w:after="0" w:line="240"/>
              <w:jc w:val="center"/>
            </w:pPr>
            <w:r>
              <w:rPr>
                <w:b w:val="false"/>
                <w:bCs w:val="false"/>
                <w:sz w:val="20"/>
                <w:szCs w:val="20"/>
              </w:rPr>
              <w:t xml:space="preserve">0,196</w:t>
            </w:r>
          </w:p>
        </w:tc>
        <w:tc>
          <w:tcPr>
            <w:tcW w:type="dxa" w:w="1452"/>
            <w:shd w:fill="FFF2CC" w:val="clear"/>
            <w:tcMar>
              <w:top w:type="dxa" w:w="60"/>
              <w:left w:type="dxa" w:w="80"/>
              <w:bottom w:type="dxa" w:w="60"/>
              <w:right w:type="dxa" w:w="80"/>
            </w:tcMar>
          </w:tcPr>
          <w:p>
            <w:pPr>
              <w:spacing w:after="0" w:line="240"/>
              <w:jc w:val="center"/>
            </w:pPr>
            <w:r>
              <w:rPr>
                <w:b w:val="false"/>
                <w:bCs w:val="false"/>
                <w:sz w:val="20"/>
                <w:szCs w:val="20"/>
              </w:rPr>
              <w:t xml:space="preserve">245 000 $</w:t>
            </w:r>
          </w:p>
        </w:tc>
        <w:tc>
          <w:tcPr>
            <w:tcW w:type="dxa" w:w="1089"/>
            <w:shd w:fill="FFF2CC" w:val="clear"/>
            <w:tcMar>
              <w:top w:type="dxa" w:w="60"/>
              <w:left w:type="dxa" w:w="80"/>
              <w:bottom w:type="dxa" w:w="60"/>
              <w:right w:type="dxa" w:w="80"/>
            </w:tcMar>
          </w:tcPr>
          <w:p>
            <w:pPr>
              <w:spacing w:after="0" w:line="240"/>
              <w:jc w:val="center"/>
            </w:pPr>
            <w:r>
              <w:rPr>
                <w:b w:val="false"/>
                <w:bCs w:val="false"/>
                <w:sz w:val="20"/>
                <w:szCs w:val="20"/>
              </w:rPr>
              <w:t xml:space="preserve">21,0%</w:t>
            </w:r>
          </w:p>
        </w:tc>
        <w:tc>
          <w:tcPr>
            <w:tcW w:type="dxa" w:w="1089"/>
            <w:shd w:fill="FFF2CC" w:val="clear"/>
            <w:tcMar>
              <w:top w:type="dxa" w:w="60"/>
              <w:left w:type="dxa" w:w="80"/>
              <w:bottom w:type="dxa" w:w="60"/>
              <w:right w:type="dxa" w:w="80"/>
            </w:tcMar>
          </w:tcPr>
          <w:p>
            <w:pPr>
              <w:spacing w:after="0" w:line="240"/>
              <w:jc w:val="center"/>
            </w:pPr>
            <w:r>
              <w:rPr>
                <w:b w:val="false"/>
                <w:bCs w:val="false"/>
                <w:sz w:val="20"/>
                <w:szCs w:val="20"/>
              </w:rPr>
              <w:t xml:space="preserve">5,7 lat</w:t>
            </w:r>
          </w:p>
        </w:tc>
      </w:tr>
      <w:tr>
        <w:trPr>
          <w:tblHeader w:val="false"/>
        </w:trPr>
        <w:tc>
          <w:tcPr>
            <w:tcW w:type="dxa" w:w="2722"/>
            <w:tcMar>
              <w:top w:type="dxa" w:w="60"/>
              <w:left w:type="dxa" w:w="80"/>
              <w:bottom w:type="dxa" w:w="60"/>
              <w:right w:type="dxa" w:w="80"/>
            </w:tcMar>
          </w:tcPr>
          <w:p>
            <w:pPr>
              <w:spacing w:after="0" w:line="240"/>
              <w:jc w:val="left"/>
            </w:pPr>
            <w:r>
              <w:rPr>
                <w:b w:val="false"/>
                <w:bCs w:val="false"/>
                <w:sz w:val="20"/>
                <w:szCs w:val="20"/>
              </w:rPr>
              <w:t xml:space="preserve">K2 — PV 250 + BESS 100 kWh</w:t>
            </w:r>
          </w:p>
        </w:tc>
        <w:tc>
          <w:tcPr>
            <w:tcW w:type="dxa" w:w="1270"/>
            <w:tcMar>
              <w:top w:type="dxa" w:w="60"/>
              <w:left w:type="dxa" w:w="80"/>
              <w:bottom w:type="dxa" w:w="60"/>
              <w:right w:type="dxa" w:w="80"/>
            </w:tcMar>
          </w:tcPr>
          <w:p>
            <w:pPr>
              <w:spacing w:after="0" w:line="240"/>
              <w:jc w:val="center"/>
            </w:pPr>
            <w:r>
              <w:rPr>
                <w:b w:val="false"/>
                <w:bCs w:val="false"/>
                <w:sz w:val="20"/>
                <w:szCs w:val="20"/>
              </w:rPr>
              <w:t xml:space="preserve">2,58 M$</w:t>
            </w:r>
          </w:p>
        </w:tc>
        <w:tc>
          <w:tcPr>
            <w:tcW w:type="dxa" w:w="1452"/>
            <w:tcMar>
              <w:top w:type="dxa" w:w="60"/>
              <w:left w:type="dxa" w:w="80"/>
              <w:bottom w:type="dxa" w:w="60"/>
              <w:right w:type="dxa" w:w="80"/>
            </w:tcMar>
          </w:tcPr>
          <w:p>
            <w:pPr>
              <w:spacing w:after="0" w:line="240"/>
              <w:jc w:val="center"/>
            </w:pPr>
            <w:r>
              <w:rPr>
                <w:b w:val="false"/>
                <w:bCs w:val="false"/>
                <w:sz w:val="20"/>
                <w:szCs w:val="20"/>
              </w:rPr>
              <w:t xml:space="preserve">0,199</w:t>
            </w:r>
          </w:p>
        </w:tc>
        <w:tc>
          <w:tcPr>
            <w:tcW w:type="dxa" w:w="1452"/>
            <w:tcMar>
              <w:top w:type="dxa" w:w="60"/>
              <w:left w:type="dxa" w:w="80"/>
              <w:bottom w:type="dxa" w:w="60"/>
              <w:right w:type="dxa" w:w="80"/>
            </w:tcMar>
          </w:tcPr>
          <w:p>
            <w:pPr>
              <w:spacing w:after="0" w:line="240"/>
              <w:jc w:val="center"/>
            </w:pPr>
            <w:r>
              <w:rPr>
                <w:b w:val="false"/>
                <w:bCs w:val="false"/>
                <w:sz w:val="20"/>
                <w:szCs w:val="20"/>
              </w:rPr>
              <w:t xml:space="preserve">273 500 $</w:t>
            </w:r>
          </w:p>
        </w:tc>
        <w:tc>
          <w:tcPr>
            <w:tcW w:type="dxa" w:w="1089"/>
            <w:tcMar>
              <w:top w:type="dxa" w:w="60"/>
              <w:left w:type="dxa" w:w="80"/>
              <w:bottom w:type="dxa" w:w="60"/>
              <w:right w:type="dxa" w:w="80"/>
            </w:tcMar>
          </w:tcPr>
          <w:p>
            <w:pPr>
              <w:spacing w:after="0" w:line="240"/>
              <w:jc w:val="center"/>
            </w:pPr>
            <w:r>
              <w:rPr>
                <w:b w:val="false"/>
                <w:bCs w:val="false"/>
                <w:sz w:val="20"/>
                <w:szCs w:val="20"/>
              </w:rPr>
              <w:t xml:space="preserve">21,4%</w:t>
            </w:r>
          </w:p>
        </w:tc>
        <w:tc>
          <w:tcPr>
            <w:tcW w:type="dxa" w:w="1089"/>
            <w:tcMar>
              <w:top w:type="dxa" w:w="60"/>
              <w:left w:type="dxa" w:w="80"/>
              <w:bottom w:type="dxa" w:w="60"/>
              <w:right w:type="dxa" w:w="80"/>
            </w:tcMar>
          </w:tcPr>
          <w:p>
            <w:pPr>
              <w:spacing w:after="0" w:line="240"/>
              <w:jc w:val="center"/>
            </w:pPr>
            <w:r>
              <w:rPr>
                <w:b w:val="false"/>
                <w:bCs w:val="false"/>
                <w:sz w:val="20"/>
                <w:szCs w:val="20"/>
              </w:rPr>
              <w:t xml:space="preserve">6,3 lat</w:t>
            </w:r>
          </w:p>
        </w:tc>
      </w:tr>
    </w:tbl>
    <w:p>
      <w:pPr>
        <w:spacing w:after="200" w:before="80" w:line="240"/>
        <w:jc w:val="center"/>
      </w:pPr>
      <w:r>
        <w:rPr>
          <w:i/>
          <w:iCs/>
          <w:sz w:val="20"/>
          <w:szCs w:val="20"/>
        </w:rPr>
        <w:t xml:space="preserve">Tabela 7. Wyniki optymalizacji dla wariantu bez awarii</w:t>
      </w:r>
    </w:p>
    <w:p>
      <w:pPr>
        <w:spacing w:after="120" w:before="0" w:line="360"/>
        <w:ind w:firstLine="566"/>
        <w:jc w:val="both"/>
      </w:pPr>
      <w:r>
        <w:rPr>
          <w:sz w:val="24"/>
          <w:szCs w:val="24"/>
        </w:rPr>
        <w:t xml:space="preserve">W konfiguracji K1 agregat prądotwórczy pracuje zero godzin w roku. Stanowi wyłącznie obciążenie kapitałowe podnoszące NPC o 2,5% oraz LCOE o 0,005 $/kWh, nie uczestnicząc w produkcji energii. Wynik ten stanowi ilościowe potwierdzenie tezy o pasywnym charakterze klasycznego zasilania rezerwowego.</w:t>
      </w:r>
    </w:p>
    <w:p>
      <w:pPr>
        <w:spacing w:after="120" w:before="0" w:line="360"/>
        <w:ind w:firstLine="566"/>
        <w:jc w:val="both"/>
      </w:pPr>
      <w:r>
        <w:rPr>
          <w:sz w:val="24"/>
          <w:szCs w:val="24"/>
        </w:rPr>
        <w:t xml:space="preserve">W konfiguracji K2 produkcja instalacji fotowoltaicznej wynosi 232 811 kWh rocznie, co odpowiada uzyskowi jednostkowemu 931 kWh/kWp — wartości typowej dla warunków polskich. Do sieci oddano jedynie 5 400 kWh, co oznacza autokonsumpcję na poziomie 97,7%.</w:t>
      </w:r>
    </w:p>
    <w:p>
      <w:pPr>
        <w:spacing w:after="8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spacing w:after="200" w:before="80" w:line="240"/>
        <w:jc w:val="center"/>
      </w:pPr>
      <w:r>
        <w:rPr>
          <w:i/>
          <w:iCs/>
          <w:sz w:val="20"/>
          <w:szCs w:val="20"/>
        </w:rPr>
        <w:t xml:space="preserve">Rysunek 1. Mapa cieplna produkcji godzinowej instalacji fotowoltaicznej</w:t>
      </w:r>
    </w:p>
    <w:p>
      <w:pPr>
        <w:pStyle w:val="Heading2"/>
        <w:spacing w:after="180" w:before="240" w:line="360"/>
      </w:pPr>
      <w:r>
        <w:rPr>
          <w:b/>
          <w:bCs/>
          <w:sz w:val="28"/>
          <w:szCs w:val="28"/>
        </w:rPr>
        <w:t xml:space="preserve">3.1. Wpływ ograniczenia przestrzennego</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1996"/>
        <w:gridCol w:w="1633"/>
        <w:gridCol w:w="2359"/>
        <w:gridCol w:w="1633"/>
        <w:gridCol w:w="1452"/>
      </w:tblGrid>
      <w:tr>
        <w:trPr>
          <w:tblHeader/>
        </w:trPr>
        <w:tc>
          <w:tcPr>
            <w:tcW w:type="dxa" w:w="1996"/>
            <w:shd w:fill="D9E2F3" w:val="clear"/>
            <w:tcMar>
              <w:top w:type="dxa" w:w="60"/>
              <w:left w:type="dxa" w:w="80"/>
              <w:bottom w:type="dxa" w:w="60"/>
              <w:right w:type="dxa" w:w="80"/>
            </w:tcMar>
          </w:tcPr>
          <w:p>
            <w:pPr>
              <w:spacing w:after="0" w:line="240"/>
              <w:jc w:val="left"/>
            </w:pPr>
            <w:r>
              <w:rPr>
                <w:b/>
                <w:bCs/>
                <w:sz w:val="20"/>
                <w:szCs w:val="20"/>
              </w:rPr>
              <w:t xml:space="preserve">Wariant</w:t>
            </w:r>
          </w:p>
        </w:tc>
        <w:tc>
          <w:tcPr>
            <w:tcW w:type="dxa" w:w="1633"/>
            <w:shd w:fill="D9E2F3" w:val="clear"/>
            <w:tcMar>
              <w:top w:type="dxa" w:w="60"/>
              <w:left w:type="dxa" w:w="80"/>
              <w:bottom w:type="dxa" w:w="60"/>
              <w:right w:type="dxa" w:w="80"/>
            </w:tcMar>
          </w:tcPr>
          <w:p>
            <w:pPr>
              <w:spacing w:after="0" w:line="240"/>
              <w:jc w:val="center"/>
            </w:pPr>
            <w:r>
              <w:rPr>
                <w:b/>
                <w:bCs/>
                <w:sz w:val="20"/>
                <w:szCs w:val="20"/>
              </w:rPr>
              <w:t xml:space="preserve">Moc PV</w:t>
            </w:r>
          </w:p>
        </w:tc>
        <w:tc>
          <w:tcPr>
            <w:tcW w:type="dxa" w:w="2359"/>
            <w:shd w:fill="D9E2F3" w:val="clear"/>
            <w:tcMar>
              <w:top w:type="dxa" w:w="60"/>
              <w:left w:type="dxa" w:w="80"/>
              <w:bottom w:type="dxa" w:w="60"/>
              <w:right w:type="dxa" w:w="80"/>
            </w:tcMar>
          </w:tcPr>
          <w:p>
            <w:pPr>
              <w:spacing w:after="0" w:line="240"/>
              <w:jc w:val="center"/>
            </w:pPr>
            <w:r>
              <w:rPr>
                <w:b/>
                <w:bCs/>
                <w:sz w:val="20"/>
                <w:szCs w:val="20"/>
              </w:rPr>
              <w:t xml:space="preserve">Wymagana powierzchnia</w:t>
            </w:r>
          </w:p>
        </w:tc>
        <w:tc>
          <w:tcPr>
            <w:tcW w:type="dxa" w:w="1633"/>
            <w:shd w:fill="D9E2F3" w:val="clear"/>
            <w:tcMar>
              <w:top w:type="dxa" w:w="60"/>
              <w:left w:type="dxa" w:w="80"/>
              <w:bottom w:type="dxa" w:w="60"/>
              <w:right w:type="dxa" w:w="80"/>
            </w:tcMar>
          </w:tcPr>
          <w:p>
            <w:pPr>
              <w:spacing w:after="0" w:line="240"/>
              <w:jc w:val="center"/>
            </w:pPr>
            <w:r>
              <w:rPr>
                <w:b/>
                <w:bCs/>
                <w:sz w:val="20"/>
                <w:szCs w:val="20"/>
              </w:rPr>
              <w:t xml:space="preserve">LCOE</w:t>
            </w:r>
          </w:p>
        </w:tc>
        <w:tc>
          <w:tcPr>
            <w:tcW w:type="dxa" w:w="1452"/>
            <w:shd w:fill="D9E2F3" w:val="clear"/>
            <w:tcMar>
              <w:top w:type="dxa" w:w="60"/>
              <w:left w:type="dxa" w:w="80"/>
              <w:bottom w:type="dxa" w:w="60"/>
              <w:right w:type="dxa" w:w="80"/>
            </w:tcMar>
          </w:tcPr>
          <w:p>
            <w:pPr>
              <w:spacing w:after="0" w:line="240"/>
              <w:jc w:val="center"/>
            </w:pPr>
            <w:r>
              <w:rPr>
                <w:b/>
                <w:bCs/>
                <w:sz w:val="20"/>
                <w:szCs w:val="20"/>
              </w:rPr>
              <w:t xml:space="preserve">Okres zwrotu</w:t>
            </w:r>
          </w:p>
        </w:tc>
      </w:tr>
      <w:tr>
        <w:trPr>
          <w:tblHeader w:val="false"/>
        </w:trPr>
        <w:tc>
          <w:tcPr>
            <w:tcW w:type="dxa" w:w="1996"/>
            <w:tcMar>
              <w:top w:type="dxa" w:w="60"/>
              <w:left w:type="dxa" w:w="80"/>
              <w:bottom w:type="dxa" w:w="60"/>
              <w:right w:type="dxa" w:w="80"/>
            </w:tcMar>
          </w:tcPr>
          <w:p>
            <w:pPr>
              <w:spacing w:after="0" w:line="240"/>
              <w:jc w:val="left"/>
            </w:pPr>
            <w:r>
              <w:rPr>
                <w:b w:val="false"/>
                <w:bCs w:val="false"/>
                <w:sz w:val="20"/>
                <w:szCs w:val="20"/>
              </w:rPr>
              <w:t xml:space="preserve">Bez ograniczeń</w:t>
            </w:r>
          </w:p>
        </w:tc>
        <w:tc>
          <w:tcPr>
            <w:tcW w:type="dxa" w:w="1633"/>
            <w:tcMar>
              <w:top w:type="dxa" w:w="60"/>
              <w:left w:type="dxa" w:w="80"/>
              <w:bottom w:type="dxa" w:w="60"/>
              <w:right w:type="dxa" w:w="80"/>
            </w:tcMar>
          </w:tcPr>
          <w:p>
            <w:pPr>
              <w:spacing w:after="0" w:line="240"/>
              <w:jc w:val="center"/>
            </w:pPr>
            <w:r>
              <w:rPr>
                <w:b w:val="false"/>
                <w:bCs w:val="false"/>
                <w:sz w:val="20"/>
                <w:szCs w:val="20"/>
              </w:rPr>
              <w:t xml:space="preserve">1 043 kWp</w:t>
            </w:r>
          </w:p>
        </w:tc>
        <w:tc>
          <w:tcPr>
            <w:tcW w:type="dxa" w:w="2359"/>
            <w:tcMar>
              <w:top w:type="dxa" w:w="60"/>
              <w:left w:type="dxa" w:w="80"/>
              <w:bottom w:type="dxa" w:w="60"/>
              <w:right w:type="dxa" w:w="80"/>
            </w:tcMar>
          </w:tcPr>
          <w:p>
            <w:pPr>
              <w:spacing w:after="0" w:line="240"/>
              <w:jc w:val="center"/>
            </w:pPr>
            <w:r>
              <w:rPr>
                <w:b w:val="false"/>
                <w:bCs w:val="false"/>
                <w:sz w:val="20"/>
                <w:szCs w:val="20"/>
              </w:rPr>
              <w:t xml:space="preserve">5 000–6 000 m²</w:t>
            </w:r>
          </w:p>
        </w:tc>
        <w:tc>
          <w:tcPr>
            <w:tcW w:type="dxa" w:w="1633"/>
            <w:tcMar>
              <w:top w:type="dxa" w:w="60"/>
              <w:left w:type="dxa" w:w="80"/>
              <w:bottom w:type="dxa" w:w="60"/>
              <w:right w:type="dxa" w:w="80"/>
            </w:tcMar>
          </w:tcPr>
          <w:p>
            <w:pPr>
              <w:spacing w:after="0" w:line="240"/>
              <w:jc w:val="center"/>
            </w:pPr>
            <w:r>
              <w:rPr>
                <w:b w:val="false"/>
                <w:bCs w:val="false"/>
                <w:sz w:val="20"/>
                <w:szCs w:val="20"/>
              </w:rPr>
              <w:t xml:space="preserve">0,123 $/kWh</w:t>
            </w:r>
          </w:p>
        </w:tc>
        <w:tc>
          <w:tcPr>
            <w:tcW w:type="dxa" w:w="1452"/>
            <w:tcMar>
              <w:top w:type="dxa" w:w="60"/>
              <w:left w:type="dxa" w:w="80"/>
              <w:bottom w:type="dxa" w:w="60"/>
              <w:right w:type="dxa" w:w="80"/>
            </w:tcMar>
          </w:tcPr>
          <w:p>
            <w:pPr>
              <w:spacing w:after="0" w:line="240"/>
              <w:jc w:val="center"/>
            </w:pPr>
            <w:r>
              <w:rPr>
                <w:b w:val="false"/>
                <w:bCs w:val="false"/>
                <w:sz w:val="20"/>
                <w:szCs w:val="20"/>
              </w:rPr>
              <w:t xml:space="preserve">8,5 lat</w:t>
            </w:r>
          </w:p>
        </w:tc>
      </w:tr>
      <w:tr>
        <w:trPr>
          <w:tblHeader w:val="false"/>
        </w:trPr>
        <w:tc>
          <w:tcPr>
            <w:tcW w:type="dxa" w:w="1996"/>
            <w:shd w:fill="FFF2CC" w:val="clear"/>
            <w:tcMar>
              <w:top w:type="dxa" w:w="60"/>
              <w:left w:type="dxa" w:w="80"/>
              <w:bottom w:type="dxa" w:w="60"/>
              <w:right w:type="dxa" w:w="80"/>
            </w:tcMar>
          </w:tcPr>
          <w:p>
            <w:pPr>
              <w:spacing w:after="0" w:line="240"/>
              <w:jc w:val="left"/>
            </w:pPr>
            <w:r>
              <w:rPr>
                <w:b/>
                <w:bCs/>
                <w:sz w:val="20"/>
                <w:szCs w:val="20"/>
              </w:rPr>
              <w:t xml:space="preserve">Z ograniczeniem</w:t>
            </w:r>
          </w:p>
        </w:tc>
        <w:tc>
          <w:tcPr>
            <w:tcW w:type="dxa" w:w="1633"/>
            <w:shd w:fill="FFF2CC" w:val="clear"/>
            <w:tcMar>
              <w:top w:type="dxa" w:w="60"/>
              <w:left w:type="dxa" w:w="80"/>
              <w:bottom w:type="dxa" w:w="60"/>
              <w:right w:type="dxa" w:w="80"/>
            </w:tcMar>
          </w:tcPr>
          <w:p>
            <w:pPr>
              <w:spacing w:after="0" w:line="240"/>
              <w:jc w:val="center"/>
            </w:pPr>
            <w:r>
              <w:rPr>
                <w:b w:val="false"/>
                <w:bCs w:val="false"/>
                <w:sz w:val="20"/>
                <w:szCs w:val="20"/>
              </w:rPr>
              <w:t xml:space="preserve">250 kWp</w:t>
            </w:r>
          </w:p>
        </w:tc>
        <w:tc>
          <w:tcPr>
            <w:tcW w:type="dxa" w:w="2359"/>
            <w:shd w:fill="FFF2CC" w:val="clear"/>
            <w:tcMar>
              <w:top w:type="dxa" w:w="60"/>
              <w:left w:type="dxa" w:w="80"/>
              <w:bottom w:type="dxa" w:w="60"/>
              <w:right w:type="dxa" w:w="80"/>
            </w:tcMar>
          </w:tcPr>
          <w:p>
            <w:pPr>
              <w:spacing w:after="0" w:line="240"/>
              <w:jc w:val="center"/>
            </w:pPr>
            <w:r>
              <w:rPr>
                <w:b w:val="false"/>
                <w:bCs w:val="false"/>
                <w:sz w:val="20"/>
                <w:szCs w:val="20"/>
              </w:rPr>
              <w:t xml:space="preserve">1 000–1 500 m²</w:t>
            </w:r>
          </w:p>
        </w:tc>
        <w:tc>
          <w:tcPr>
            <w:tcW w:type="dxa" w:w="1633"/>
            <w:shd w:fill="FFF2CC" w:val="clear"/>
            <w:tcMar>
              <w:top w:type="dxa" w:w="60"/>
              <w:left w:type="dxa" w:w="80"/>
              <w:bottom w:type="dxa" w:w="60"/>
              <w:right w:type="dxa" w:w="80"/>
            </w:tcMar>
          </w:tcPr>
          <w:p>
            <w:pPr>
              <w:spacing w:after="0" w:line="240"/>
              <w:jc w:val="center"/>
            </w:pPr>
            <w:r>
              <w:rPr>
                <w:b w:val="false"/>
                <w:bCs w:val="false"/>
                <w:sz w:val="20"/>
                <w:szCs w:val="20"/>
              </w:rPr>
              <w:t xml:space="preserve">0,196 $/kWh</w:t>
            </w:r>
          </w:p>
        </w:tc>
        <w:tc>
          <w:tcPr>
            <w:tcW w:type="dxa" w:w="1452"/>
            <w:shd w:fill="FFF2CC" w:val="clear"/>
            <w:tcMar>
              <w:top w:type="dxa" w:w="60"/>
              <w:left w:type="dxa" w:w="80"/>
              <w:bottom w:type="dxa" w:w="60"/>
              <w:right w:type="dxa" w:w="80"/>
            </w:tcMar>
          </w:tcPr>
          <w:p>
            <w:pPr>
              <w:spacing w:after="0" w:line="240"/>
              <w:jc w:val="center"/>
            </w:pPr>
            <w:r>
              <w:rPr>
                <w:b w:val="false"/>
                <w:bCs w:val="false"/>
                <w:sz w:val="20"/>
                <w:szCs w:val="20"/>
              </w:rPr>
              <w:t xml:space="preserve">5,7 lat</w:t>
            </w:r>
          </w:p>
        </w:tc>
      </w:tr>
    </w:tbl>
    <w:p>
      <w:pPr>
        <w:spacing w:after="200" w:before="80" w:line="240"/>
        <w:jc w:val="center"/>
      </w:pPr>
      <w:r>
        <w:rPr>
          <w:i/>
          <w:iCs/>
          <w:sz w:val="20"/>
          <w:szCs w:val="20"/>
        </w:rPr>
        <w:t xml:space="preserve">Tabela 8. Porównanie wariantów z ograniczeniem i bez ograniczenia mocy PV</w:t>
      </w:r>
    </w:p>
    <w:p>
      <w:pPr>
        <w:spacing w:after="120" w:before="0" w:line="360"/>
        <w:ind w:firstLine="566"/>
        <w:jc w:val="both"/>
      </w:pPr>
      <w:r>
        <w:rPr>
          <w:sz w:val="24"/>
          <w:szCs w:val="24"/>
        </w:rPr>
        <w:t xml:space="preserve">Ograniczenie mocy instalacji pogarsza wskaźnik LCOE, lecz jednocześnie skraca okres zwrotu nakładów. Przy mocy 250 kWp cała wytworzona energia jest konsumowana lokalnie po pełnej stawce taryfowej, bez odsprzedaży nadwyżek po cenie niższej.</w:t>
      </w:r>
    </w:p>
    <w:p>
      <w:r>
        <w:br w:type="page"/>
      </w:r>
    </w:p>
    <w:p>
      <w:pPr>
        <w:pStyle w:val="Heading1"/>
        <w:spacing w:after="240" w:before="240" w:line="360"/>
      </w:pPr>
      <w:r>
        <w:rPr>
          <w:b/>
          <w:bCs/>
          <w:sz w:val="28"/>
          <w:szCs w:val="28"/>
        </w:rPr>
        <w:t xml:space="preserve">4. Wyniki — konfiguracja K3 z kogeneracją gazową</w:t>
      </w:r>
    </w:p>
    <w:p>
      <w:pPr>
        <w:spacing w:after="120" w:before="0" w:line="360"/>
        <w:ind w:firstLine="566"/>
        <w:jc w:val="both"/>
      </w:pPr>
      <w:r>
        <w:rPr>
          <w:sz w:val="24"/>
          <w:szCs w:val="24"/>
        </w:rPr>
        <w:t xml:space="preserve">Zastąpienie generycznego agregatu wysokoprężnego rzeczywistą jednostką kogeneracyjną 2G Aura 404 zmieniło wynik optymalizacji w sposób zasadniczy.</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085"/>
        <w:gridCol w:w="2994"/>
        <w:gridCol w:w="2994"/>
      </w:tblGrid>
      <w:tr>
        <w:trPr>
          <w:tblHeader/>
        </w:trPr>
        <w:tc>
          <w:tcPr>
            <w:tcW w:type="dxa" w:w="3085"/>
            <w:shd w:fill="D9E2F3" w:val="clear"/>
            <w:tcMar>
              <w:top w:type="dxa" w:w="60"/>
              <w:left w:type="dxa" w:w="80"/>
              <w:bottom w:type="dxa" w:w="60"/>
              <w:right w:type="dxa" w:w="80"/>
            </w:tcMar>
          </w:tcPr>
          <w:p>
            <w:pPr>
              <w:spacing w:after="0" w:line="240"/>
              <w:jc w:val="left"/>
            </w:pPr>
            <w:r>
              <w:rPr>
                <w:b/>
                <w:bCs/>
                <w:sz w:val="20"/>
                <w:szCs w:val="20"/>
              </w:rPr>
              <w:t xml:space="preserve">Wskaźnik</w:t>
            </w:r>
          </w:p>
        </w:tc>
        <w:tc>
          <w:tcPr>
            <w:tcW w:type="dxa" w:w="2994"/>
            <w:shd w:fill="D9E2F3" w:val="clear"/>
            <w:tcMar>
              <w:top w:type="dxa" w:w="60"/>
              <w:left w:type="dxa" w:w="80"/>
              <w:bottom w:type="dxa" w:w="60"/>
              <w:right w:type="dxa" w:w="80"/>
            </w:tcMar>
          </w:tcPr>
          <w:p>
            <w:pPr>
              <w:spacing w:after="0" w:line="240"/>
              <w:jc w:val="center"/>
            </w:pPr>
            <w:r>
              <w:rPr>
                <w:b/>
                <w:bCs/>
                <w:sz w:val="20"/>
                <w:szCs w:val="20"/>
              </w:rPr>
              <w:t xml:space="preserve">CHP na oleju napędowym</w:t>
            </w:r>
          </w:p>
        </w:tc>
        <w:tc>
          <w:tcPr>
            <w:tcW w:type="dxa" w:w="2994"/>
            <w:shd w:fill="D9E2F3" w:val="clear"/>
            <w:tcMar>
              <w:top w:type="dxa" w:w="60"/>
              <w:left w:type="dxa" w:w="80"/>
              <w:bottom w:type="dxa" w:w="60"/>
              <w:right w:type="dxa" w:w="80"/>
            </w:tcMar>
          </w:tcPr>
          <w:p>
            <w:pPr>
              <w:spacing w:after="0" w:line="240"/>
              <w:jc w:val="center"/>
            </w:pPr>
            <w:r>
              <w:rPr>
                <w:b/>
                <w:bCs/>
                <w:sz w:val="20"/>
                <w:szCs w:val="20"/>
              </w:rPr>
              <w:t xml:space="preserve">CHP gazowy (2G Aura 404)</w:t>
            </w:r>
          </w:p>
        </w:tc>
      </w:tr>
      <w:tr>
        <w:trPr>
          <w:tblHeader w:val="false"/>
        </w:trPr>
        <w:tc>
          <w:tcPr>
            <w:tcW w:type="dxa" w:w="3085"/>
            <w:shd w:fill="FFF2CC" w:val="clear"/>
            <w:tcMar>
              <w:top w:type="dxa" w:w="60"/>
              <w:left w:type="dxa" w:w="80"/>
              <w:bottom w:type="dxa" w:w="60"/>
              <w:right w:type="dxa" w:w="80"/>
            </w:tcMar>
          </w:tcPr>
          <w:p>
            <w:pPr>
              <w:spacing w:after="0" w:line="240"/>
              <w:jc w:val="left"/>
            </w:pPr>
            <w:r>
              <w:rPr>
                <w:b/>
                <w:bCs/>
                <w:sz w:val="20"/>
                <w:szCs w:val="20"/>
              </w:rPr>
              <w:t xml:space="preserve">Wybrany przez optymalizator</w:t>
            </w:r>
          </w:p>
        </w:tc>
        <w:tc>
          <w:tcPr>
            <w:tcW w:type="dxa" w:w="2994"/>
            <w:shd w:fill="FFF2CC" w:val="clear"/>
            <w:tcMar>
              <w:top w:type="dxa" w:w="60"/>
              <w:left w:type="dxa" w:w="80"/>
              <w:bottom w:type="dxa" w:w="60"/>
              <w:right w:type="dxa" w:w="80"/>
            </w:tcMar>
          </w:tcPr>
          <w:p>
            <w:pPr>
              <w:spacing w:after="0" w:line="240"/>
              <w:jc w:val="center"/>
            </w:pPr>
            <w:r>
              <w:rPr>
                <w:b w:val="false"/>
                <w:bCs w:val="false"/>
                <w:sz w:val="20"/>
                <w:szCs w:val="20"/>
              </w:rPr>
              <w:t xml:space="preserve">NIE (0 h pracy)</w:t>
            </w:r>
          </w:p>
        </w:tc>
        <w:tc>
          <w:tcPr>
            <w:tcW w:type="dxa" w:w="2994"/>
            <w:shd w:fill="FFF2CC" w:val="clear"/>
            <w:tcMar>
              <w:top w:type="dxa" w:w="60"/>
              <w:left w:type="dxa" w:w="80"/>
              <w:bottom w:type="dxa" w:w="60"/>
              <w:right w:type="dxa" w:w="80"/>
            </w:tcMar>
          </w:tcPr>
          <w:p>
            <w:pPr>
              <w:spacing w:after="0" w:line="240"/>
              <w:jc w:val="center"/>
            </w:pPr>
            <w:r>
              <w:rPr>
                <w:b w:val="false"/>
                <w:bCs w:val="false"/>
                <w:sz w:val="20"/>
                <w:szCs w:val="20"/>
              </w:rPr>
              <w:t xml:space="preserve">TAK</w:t>
            </w:r>
          </w:p>
        </w:tc>
      </w:tr>
      <w:tr>
        <w:trPr>
          <w:tblHeader w:val="false"/>
        </w:trPr>
        <w:tc>
          <w:tcPr>
            <w:tcW w:type="dxa" w:w="3085"/>
            <w:tcMar>
              <w:top w:type="dxa" w:w="60"/>
              <w:left w:type="dxa" w:w="80"/>
              <w:bottom w:type="dxa" w:w="60"/>
              <w:right w:type="dxa" w:w="80"/>
            </w:tcMar>
          </w:tcPr>
          <w:p>
            <w:pPr>
              <w:spacing w:after="0" w:line="240"/>
              <w:jc w:val="left"/>
            </w:pPr>
            <w:r>
              <w:rPr>
                <w:b w:val="false"/>
                <w:bCs w:val="false"/>
                <w:sz w:val="20"/>
                <w:szCs w:val="20"/>
              </w:rPr>
              <w:t xml:space="preserve">NPC</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4,35 M$</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4,30 M$</w:t>
            </w:r>
          </w:p>
        </w:tc>
      </w:tr>
      <w:tr>
        <w:trPr>
          <w:tblHeader w:val="false"/>
        </w:trPr>
        <w:tc>
          <w:tcPr>
            <w:tcW w:type="dxa" w:w="3085"/>
            <w:tcMar>
              <w:top w:type="dxa" w:w="60"/>
              <w:left w:type="dxa" w:w="80"/>
              <w:bottom w:type="dxa" w:w="60"/>
              <w:right w:type="dxa" w:w="80"/>
            </w:tcMar>
          </w:tcPr>
          <w:p>
            <w:pPr>
              <w:spacing w:after="0" w:line="240"/>
              <w:jc w:val="left"/>
            </w:pPr>
            <w:r>
              <w:rPr>
                <w:b w:val="false"/>
                <w:bCs w:val="false"/>
                <w:sz w:val="20"/>
                <w:szCs w:val="20"/>
              </w:rPr>
              <w:t xml:space="preserve">LCOE [$/kWh]</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0,196</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0,192</w:t>
            </w:r>
          </w:p>
        </w:tc>
      </w:tr>
      <w:tr>
        <w:trPr>
          <w:tblHeader w:val="false"/>
        </w:trPr>
        <w:tc>
          <w:tcPr>
            <w:tcW w:type="dxa" w:w="3085"/>
            <w:tcMar>
              <w:top w:type="dxa" w:w="60"/>
              <w:left w:type="dxa" w:w="80"/>
              <w:bottom w:type="dxa" w:w="60"/>
              <w:right w:type="dxa" w:w="80"/>
            </w:tcMar>
          </w:tcPr>
          <w:p>
            <w:pPr>
              <w:spacing w:after="0" w:line="240"/>
              <w:jc w:val="left"/>
            </w:pPr>
            <w:r>
              <w:rPr>
                <w:b w:val="false"/>
                <w:bCs w:val="false"/>
                <w:sz w:val="20"/>
                <w:szCs w:val="20"/>
              </w:rPr>
              <w:t xml:space="preserve">Godziny pracy w roku</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0</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7 112 (81% roku)</w:t>
            </w:r>
          </w:p>
        </w:tc>
      </w:tr>
      <w:tr>
        <w:trPr>
          <w:tblHeader w:val="false"/>
        </w:trPr>
        <w:tc>
          <w:tcPr>
            <w:tcW w:type="dxa" w:w="3085"/>
            <w:tcMar>
              <w:top w:type="dxa" w:w="60"/>
              <w:left w:type="dxa" w:w="80"/>
              <w:bottom w:type="dxa" w:w="60"/>
              <w:right w:type="dxa" w:w="80"/>
            </w:tcMar>
          </w:tcPr>
          <w:p>
            <w:pPr>
              <w:spacing w:after="0" w:line="240"/>
              <w:jc w:val="left"/>
            </w:pPr>
            <w:r>
              <w:rPr>
                <w:b w:val="false"/>
                <w:bCs w:val="false"/>
                <w:sz w:val="20"/>
                <w:szCs w:val="20"/>
              </w:rPr>
              <w:t xml:space="preserve">Produkcja energii [kWh/rok]</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0</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662 876</w:t>
            </w:r>
          </w:p>
        </w:tc>
      </w:tr>
      <w:tr>
        <w:trPr>
          <w:tblHeader w:val="false"/>
        </w:trPr>
        <w:tc>
          <w:tcPr>
            <w:tcW w:type="dxa" w:w="3085"/>
            <w:tcMar>
              <w:top w:type="dxa" w:w="60"/>
              <w:left w:type="dxa" w:w="80"/>
              <w:bottom w:type="dxa" w:w="60"/>
              <w:right w:type="dxa" w:w="80"/>
            </w:tcMar>
          </w:tcPr>
          <w:p>
            <w:pPr>
              <w:spacing w:after="0" w:line="240"/>
              <w:jc w:val="left"/>
            </w:pPr>
            <w:r>
              <w:rPr>
                <w:b w:val="false"/>
                <w:bCs w:val="false"/>
                <w:sz w:val="20"/>
                <w:szCs w:val="20"/>
              </w:rPr>
              <w:t xml:space="preserve">Zużycie paliwa</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193 533 m³ gazu</w:t>
            </w:r>
          </w:p>
        </w:tc>
      </w:tr>
      <w:tr>
        <w:trPr>
          <w:tblHeader w:val="false"/>
        </w:trPr>
        <w:tc>
          <w:tcPr>
            <w:tcW w:type="dxa" w:w="3085"/>
            <w:tcMar>
              <w:top w:type="dxa" w:w="60"/>
              <w:left w:type="dxa" w:w="80"/>
              <w:bottom w:type="dxa" w:w="60"/>
              <w:right w:type="dxa" w:w="80"/>
            </w:tcMar>
          </w:tcPr>
          <w:p>
            <w:pPr>
              <w:spacing w:after="0" w:line="240"/>
              <w:jc w:val="left"/>
            </w:pPr>
            <w:r>
              <w:rPr>
                <w:b w:val="false"/>
                <w:bCs w:val="false"/>
                <w:sz w:val="20"/>
                <w:szCs w:val="20"/>
              </w:rPr>
              <w:t xml:space="preserve">Okres zwrotu</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w:t>
            </w:r>
          </w:p>
        </w:tc>
        <w:tc>
          <w:tcPr>
            <w:tcW w:type="dxa" w:w="2994"/>
            <w:tcMar>
              <w:top w:type="dxa" w:w="60"/>
              <w:left w:type="dxa" w:w="80"/>
              <w:bottom w:type="dxa" w:w="60"/>
              <w:right w:type="dxa" w:w="80"/>
            </w:tcMar>
          </w:tcPr>
          <w:p>
            <w:pPr>
              <w:spacing w:after="0" w:line="240"/>
              <w:jc w:val="center"/>
            </w:pPr>
            <w:r>
              <w:rPr>
                <w:b w:val="false"/>
                <w:bCs w:val="false"/>
                <w:sz w:val="20"/>
                <w:szCs w:val="20"/>
              </w:rPr>
              <w:t xml:space="preserve">7,9 lat</w:t>
            </w:r>
          </w:p>
        </w:tc>
      </w:tr>
    </w:tbl>
    <w:p>
      <w:pPr>
        <w:spacing w:after="200" w:before="80" w:line="240"/>
        <w:jc w:val="center"/>
      </w:pPr>
      <w:r>
        <w:rPr>
          <w:i/>
          <w:iCs/>
          <w:sz w:val="20"/>
          <w:szCs w:val="20"/>
        </w:rPr>
        <w:t xml:space="preserve">Tabela 9. Porównanie jednostek kogeneracyjnych zasilanych różnymi paliwami</w:t>
      </w:r>
    </w:p>
    <w:p>
      <w:pPr>
        <w:spacing w:after="120" w:before="0" w:line="360"/>
        <w:ind w:firstLine="566"/>
        <w:jc w:val="both"/>
      </w:pPr>
      <w:r>
        <w:rPr>
          <w:sz w:val="24"/>
          <w:szCs w:val="24"/>
        </w:rPr>
        <w:t xml:space="preserve">Przyczyną odrzucenia jednostki wysokoprężnej jest relacja kosztów paliwa: przy cenie oleju napędowego 1,55 $/L koszt wytworzenia energii przewyższał cenę zakupu z sieci połączoną z produkcją ciepła w kotle gazowym. Zasilanie gazem ziemnym w cenie 0,65 $/m³ odwraca tę relację.</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992"/>
        <w:gridCol w:w="2540"/>
        <w:gridCol w:w="2540"/>
      </w:tblGrid>
      <w:tr>
        <w:trPr>
          <w:tblHeader/>
        </w:trPr>
        <w:tc>
          <w:tcPr>
            <w:tcW w:type="dxa" w:w="3992"/>
            <w:shd w:fill="D9E2F3" w:val="clear"/>
            <w:tcMar>
              <w:top w:type="dxa" w:w="60"/>
              <w:left w:type="dxa" w:w="80"/>
              <w:bottom w:type="dxa" w:w="60"/>
              <w:right w:type="dxa" w:w="80"/>
            </w:tcMar>
          </w:tcPr>
          <w:p>
            <w:pPr>
              <w:spacing w:after="0" w:line="240"/>
              <w:jc w:val="left"/>
            </w:pPr>
            <w:r>
              <w:rPr>
                <w:b/>
                <w:bCs/>
                <w:sz w:val="20"/>
                <w:szCs w:val="20"/>
              </w:rPr>
              <w:t xml:space="preserve">Źródło energii elektrycznej</w:t>
            </w:r>
          </w:p>
        </w:tc>
        <w:tc>
          <w:tcPr>
            <w:tcW w:type="dxa" w:w="2540"/>
            <w:shd w:fill="D9E2F3" w:val="clear"/>
            <w:tcMar>
              <w:top w:type="dxa" w:w="60"/>
              <w:left w:type="dxa" w:w="80"/>
              <w:bottom w:type="dxa" w:w="60"/>
              <w:right w:type="dxa" w:w="80"/>
            </w:tcMar>
          </w:tcPr>
          <w:p>
            <w:pPr>
              <w:spacing w:after="0" w:line="240"/>
              <w:jc w:val="center"/>
            </w:pPr>
            <w:r>
              <w:rPr>
                <w:b/>
                <w:bCs/>
                <w:sz w:val="20"/>
                <w:szCs w:val="20"/>
              </w:rPr>
              <w:t xml:space="preserve">Energia [kWh/rok]</w:t>
            </w:r>
          </w:p>
        </w:tc>
        <w:tc>
          <w:tcPr>
            <w:tcW w:type="dxa" w:w="2540"/>
            <w:shd w:fill="D9E2F3" w:val="clear"/>
            <w:tcMar>
              <w:top w:type="dxa" w:w="60"/>
              <w:left w:type="dxa" w:w="80"/>
              <w:bottom w:type="dxa" w:w="60"/>
              <w:right w:type="dxa" w:w="80"/>
            </w:tcMar>
          </w:tcPr>
          <w:p>
            <w:pPr>
              <w:spacing w:after="0" w:line="240"/>
              <w:jc w:val="center"/>
            </w:pPr>
            <w:r>
              <w:rPr>
                <w:b/>
                <w:bCs/>
                <w:sz w:val="20"/>
                <w:szCs w:val="20"/>
              </w:rPr>
              <w:t xml:space="preserve">Udział</w:t>
            </w:r>
          </w:p>
        </w:tc>
      </w:tr>
      <w:tr>
        <w:trPr>
          <w:tblHeader w:val="false"/>
        </w:trPr>
        <w:tc>
          <w:tcPr>
            <w:tcW w:type="dxa" w:w="3992"/>
            <w:tcMar>
              <w:top w:type="dxa" w:w="60"/>
              <w:left w:type="dxa" w:w="80"/>
              <w:bottom w:type="dxa" w:w="60"/>
              <w:right w:type="dxa" w:w="80"/>
            </w:tcMar>
          </w:tcPr>
          <w:p>
            <w:pPr>
              <w:spacing w:after="0" w:line="240"/>
              <w:jc w:val="left"/>
            </w:pPr>
            <w:r>
              <w:rPr>
                <w:sz w:val="20"/>
                <w:szCs w:val="20"/>
              </w:rPr>
              <w:t xml:space="preserve">Kogeneracja 2G Aura 404</w:t>
            </w:r>
          </w:p>
        </w:tc>
        <w:tc>
          <w:tcPr>
            <w:tcW w:type="dxa" w:w="2540"/>
            <w:tcMar>
              <w:top w:type="dxa" w:w="60"/>
              <w:left w:type="dxa" w:w="80"/>
              <w:bottom w:type="dxa" w:w="60"/>
              <w:right w:type="dxa" w:w="80"/>
            </w:tcMar>
          </w:tcPr>
          <w:p>
            <w:pPr>
              <w:spacing w:after="0" w:line="240"/>
              <w:jc w:val="center"/>
            </w:pPr>
            <w:r>
              <w:rPr>
                <w:sz w:val="20"/>
                <w:szCs w:val="20"/>
              </w:rPr>
              <w:t xml:space="preserve">662 876</w:t>
            </w:r>
          </w:p>
        </w:tc>
        <w:tc>
          <w:tcPr>
            <w:tcW w:type="dxa" w:w="2540"/>
            <w:tcMar>
              <w:top w:type="dxa" w:w="60"/>
              <w:left w:type="dxa" w:w="80"/>
              <w:bottom w:type="dxa" w:w="60"/>
              <w:right w:type="dxa" w:w="80"/>
            </w:tcMar>
          </w:tcPr>
          <w:p>
            <w:pPr>
              <w:spacing w:after="0" w:line="240"/>
              <w:jc w:val="center"/>
            </w:pPr>
            <w:r>
              <w:rPr>
                <w:sz w:val="20"/>
                <w:szCs w:val="20"/>
              </w:rPr>
              <w:t xml:space="preserve">64,6%</w:t>
            </w:r>
          </w:p>
        </w:tc>
      </w:tr>
      <w:tr>
        <w:trPr>
          <w:tblHeader w:val="false"/>
        </w:trPr>
        <w:tc>
          <w:tcPr>
            <w:tcW w:type="dxa" w:w="3992"/>
            <w:tcMar>
              <w:top w:type="dxa" w:w="60"/>
              <w:left w:type="dxa" w:w="80"/>
              <w:bottom w:type="dxa" w:w="60"/>
              <w:right w:type="dxa" w:w="80"/>
            </w:tcMar>
          </w:tcPr>
          <w:p>
            <w:pPr>
              <w:spacing w:after="0" w:line="240"/>
              <w:jc w:val="left"/>
            </w:pPr>
            <w:r>
              <w:rPr>
                <w:sz w:val="20"/>
                <w:szCs w:val="20"/>
              </w:rPr>
              <w:t xml:space="preserve">Instalacja fotowoltaiczna</w:t>
            </w:r>
          </w:p>
        </w:tc>
        <w:tc>
          <w:tcPr>
            <w:tcW w:type="dxa" w:w="2540"/>
            <w:tcMar>
              <w:top w:type="dxa" w:w="60"/>
              <w:left w:type="dxa" w:w="80"/>
              <w:bottom w:type="dxa" w:w="60"/>
              <w:right w:type="dxa" w:w="80"/>
            </w:tcMar>
          </w:tcPr>
          <w:p>
            <w:pPr>
              <w:spacing w:after="0" w:line="240"/>
              <w:jc w:val="center"/>
            </w:pPr>
            <w:r>
              <w:rPr>
                <w:sz w:val="20"/>
                <w:szCs w:val="20"/>
              </w:rPr>
              <w:t xml:space="preserve">232 811</w:t>
            </w:r>
          </w:p>
        </w:tc>
        <w:tc>
          <w:tcPr>
            <w:tcW w:type="dxa" w:w="2540"/>
            <w:tcMar>
              <w:top w:type="dxa" w:w="60"/>
              <w:left w:type="dxa" w:w="80"/>
              <w:bottom w:type="dxa" w:w="60"/>
              <w:right w:type="dxa" w:w="80"/>
            </w:tcMar>
          </w:tcPr>
          <w:p>
            <w:pPr>
              <w:spacing w:after="0" w:line="240"/>
              <w:jc w:val="center"/>
            </w:pPr>
            <w:r>
              <w:rPr>
                <w:sz w:val="20"/>
                <w:szCs w:val="20"/>
              </w:rPr>
              <w:t xml:space="preserve">22,7%</w:t>
            </w:r>
          </w:p>
        </w:tc>
      </w:tr>
      <w:tr>
        <w:trPr>
          <w:tblHeader w:val="false"/>
        </w:trPr>
        <w:tc>
          <w:tcPr>
            <w:tcW w:type="dxa" w:w="3992"/>
            <w:tcMar>
              <w:top w:type="dxa" w:w="60"/>
              <w:left w:type="dxa" w:w="80"/>
              <w:bottom w:type="dxa" w:w="60"/>
              <w:right w:type="dxa" w:w="80"/>
            </w:tcMar>
          </w:tcPr>
          <w:p>
            <w:pPr>
              <w:spacing w:after="0" w:line="240"/>
              <w:jc w:val="left"/>
            </w:pPr>
            <w:r>
              <w:rPr>
                <w:sz w:val="20"/>
                <w:szCs w:val="20"/>
              </w:rPr>
              <w:t xml:space="preserve">Zakup z sieci</w:t>
            </w:r>
          </w:p>
        </w:tc>
        <w:tc>
          <w:tcPr>
            <w:tcW w:type="dxa" w:w="2540"/>
            <w:tcMar>
              <w:top w:type="dxa" w:w="60"/>
              <w:left w:type="dxa" w:w="80"/>
              <w:bottom w:type="dxa" w:w="60"/>
              <w:right w:type="dxa" w:w="80"/>
            </w:tcMar>
          </w:tcPr>
          <w:p>
            <w:pPr>
              <w:spacing w:after="0" w:line="240"/>
              <w:jc w:val="center"/>
            </w:pPr>
            <w:r>
              <w:rPr>
                <w:sz w:val="20"/>
                <w:szCs w:val="20"/>
              </w:rPr>
              <w:t xml:space="preserve">129 927</w:t>
            </w:r>
          </w:p>
        </w:tc>
        <w:tc>
          <w:tcPr>
            <w:tcW w:type="dxa" w:w="2540"/>
            <w:tcMar>
              <w:top w:type="dxa" w:w="60"/>
              <w:left w:type="dxa" w:w="80"/>
              <w:bottom w:type="dxa" w:w="60"/>
              <w:right w:type="dxa" w:w="80"/>
            </w:tcMar>
          </w:tcPr>
          <w:p>
            <w:pPr>
              <w:spacing w:after="0" w:line="240"/>
              <w:jc w:val="center"/>
            </w:pPr>
            <w:r>
              <w:rPr>
                <w:sz w:val="20"/>
                <w:szCs w:val="20"/>
              </w:rPr>
              <w:t xml:space="preserve">12,7%</w:t>
            </w:r>
          </w:p>
        </w:tc>
      </w:tr>
    </w:tbl>
    <w:p>
      <w:pPr>
        <w:spacing w:after="200" w:before="80" w:line="240"/>
        <w:jc w:val="center"/>
      </w:pPr>
      <w:r>
        <w:rPr>
          <w:i/>
          <w:iCs/>
          <w:sz w:val="20"/>
          <w:szCs w:val="20"/>
        </w:rPr>
        <w:t xml:space="preserve">Tabela 10. Struktura pokrycia zapotrzebowania elektrycznego w konfiguracji K3</w:t>
      </w:r>
    </w:p>
    <w:p>
      <w:pPr>
        <w:spacing w:after="120" w:before="0" w:line="360"/>
        <w:ind w:firstLine="566"/>
        <w:jc w:val="both"/>
      </w:pPr>
      <w:r>
        <w:rPr>
          <w:sz w:val="24"/>
          <w:szCs w:val="24"/>
        </w:rPr>
        <w:t xml:space="preserve">Obiekt pokrywa 87,3% zapotrzebowania na energię elektryczną ze źródeł zlokalizowanych na terenie zakładu.</w:t>
      </w:r>
    </w:p>
    <w:p>
      <w:r>
        <w:br w:type="page"/>
      </w:r>
    </w:p>
    <w:p>
      <w:pPr>
        <w:pStyle w:val="Heading1"/>
        <w:spacing w:after="240" w:before="240" w:line="360"/>
      </w:pPr>
      <w:r>
        <w:rPr>
          <w:b/>
          <w:bCs/>
          <w:sz w:val="28"/>
          <w:szCs w:val="28"/>
        </w:rPr>
        <w:t xml:space="preserve">5. Wyniki — wariant A1 (awaria black-sky, 72 godziny)</w:t>
      </w:r>
    </w:p>
    <w:p>
      <w:pPr>
        <w:spacing w:after="120" w:before="0" w:line="360"/>
        <w:ind w:firstLine="566"/>
        <w:jc w:val="both"/>
      </w:pPr>
      <w:r>
        <w:rPr>
          <w:sz w:val="24"/>
          <w:szCs w:val="24"/>
        </w:rPr>
        <w:t xml:space="preserve">Wielkością mierzoną jest energia niedostarczona (Unmet Electric Load) — ilość energii, której system nie był w stanie dostarczyć do odbiorów w czasie trwania awarii.</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085"/>
        <w:gridCol w:w="2178"/>
        <w:gridCol w:w="1815"/>
        <w:gridCol w:w="1996"/>
      </w:tblGrid>
      <w:tr>
        <w:trPr>
          <w:tblHeader/>
        </w:trPr>
        <w:tc>
          <w:tcPr>
            <w:tcW w:type="dxa" w:w="3085"/>
            <w:shd w:fill="D9E2F3" w:val="clear"/>
            <w:tcMar>
              <w:top w:type="dxa" w:w="60"/>
              <w:left w:type="dxa" w:w="80"/>
              <w:bottom w:type="dxa" w:w="60"/>
              <w:right w:type="dxa" w:w="80"/>
            </w:tcMar>
          </w:tcPr>
          <w:p>
            <w:pPr>
              <w:spacing w:after="0" w:line="240"/>
              <w:jc w:val="left"/>
            </w:pPr>
            <w:r>
              <w:rPr>
                <w:b/>
                <w:bCs/>
                <w:sz w:val="20"/>
                <w:szCs w:val="20"/>
              </w:rPr>
              <w:t xml:space="preserve">Konfiguracja</w:t>
            </w:r>
          </w:p>
        </w:tc>
        <w:tc>
          <w:tcPr>
            <w:tcW w:type="dxa" w:w="2178"/>
            <w:shd w:fill="D9E2F3" w:val="clear"/>
            <w:tcMar>
              <w:top w:type="dxa" w:w="60"/>
              <w:left w:type="dxa" w:w="80"/>
              <w:bottom w:type="dxa" w:w="60"/>
              <w:right w:type="dxa" w:w="80"/>
            </w:tcMar>
          </w:tcPr>
          <w:p>
            <w:pPr>
              <w:spacing w:after="0" w:line="240"/>
              <w:jc w:val="center"/>
            </w:pPr>
            <w:r>
              <w:rPr>
                <w:b/>
                <w:bCs/>
                <w:sz w:val="20"/>
                <w:szCs w:val="20"/>
              </w:rPr>
              <w:t xml:space="preserve">Energia niedostarczona</w:t>
            </w:r>
          </w:p>
        </w:tc>
        <w:tc>
          <w:tcPr>
            <w:tcW w:type="dxa" w:w="1815"/>
            <w:shd w:fill="D9E2F3" w:val="clear"/>
            <w:tcMar>
              <w:top w:type="dxa" w:w="60"/>
              <w:left w:type="dxa" w:w="80"/>
              <w:bottom w:type="dxa" w:w="60"/>
              <w:right w:type="dxa" w:w="80"/>
            </w:tcMar>
          </w:tcPr>
          <w:p>
            <w:pPr>
              <w:spacing w:after="0" w:line="240"/>
              <w:jc w:val="center"/>
            </w:pPr>
            <w:r>
              <w:rPr>
                <w:b/>
                <w:bCs/>
                <w:sz w:val="20"/>
                <w:szCs w:val="20"/>
              </w:rPr>
              <w:t xml:space="preserve">Pokrycie deficytu</w:t>
            </w:r>
          </w:p>
        </w:tc>
        <w:tc>
          <w:tcPr>
            <w:tcW w:type="dxa" w:w="1996"/>
            <w:shd w:fill="D9E2F3" w:val="clear"/>
            <w:tcMar>
              <w:top w:type="dxa" w:w="60"/>
              <w:left w:type="dxa" w:w="80"/>
              <w:bottom w:type="dxa" w:w="60"/>
              <w:right w:type="dxa" w:w="80"/>
            </w:tcMar>
          </w:tcPr>
          <w:p>
            <w:pPr>
              <w:spacing w:after="0" w:line="240"/>
              <w:jc w:val="center"/>
            </w:pPr>
            <w:r>
              <w:rPr>
                <w:b/>
                <w:bCs/>
                <w:sz w:val="20"/>
                <w:szCs w:val="20"/>
              </w:rPr>
              <w:t xml:space="preserve">Zużyte paliwo</w:t>
            </w:r>
          </w:p>
        </w:tc>
      </w:tr>
      <w:tr>
        <w:trPr>
          <w:tblHeader w:val="false"/>
        </w:trPr>
        <w:tc>
          <w:tcPr>
            <w:tcW w:type="dxa" w:w="3085"/>
            <w:tcMar>
              <w:top w:type="dxa" w:w="60"/>
              <w:left w:type="dxa" w:w="80"/>
              <w:bottom w:type="dxa" w:w="60"/>
              <w:right w:type="dxa" w:w="80"/>
            </w:tcMar>
          </w:tcPr>
          <w:p>
            <w:pPr>
              <w:spacing w:after="0" w:line="240"/>
              <w:jc w:val="left"/>
            </w:pPr>
            <w:r>
              <w:rPr>
                <w:b w:val="false"/>
                <w:bCs w:val="false"/>
                <w:sz w:val="20"/>
                <w:szCs w:val="20"/>
              </w:rPr>
              <w:t xml:space="preserve">Sama sieć — bez rezerwy</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8 762 kWh</w:t>
            </w:r>
          </w:p>
        </w:tc>
        <w:tc>
          <w:tcPr>
            <w:tcW w:type="dxa" w:w="1815"/>
            <w:tcMar>
              <w:top w:type="dxa" w:w="60"/>
              <w:left w:type="dxa" w:w="80"/>
              <w:bottom w:type="dxa" w:w="60"/>
              <w:right w:type="dxa" w:w="80"/>
            </w:tcMar>
          </w:tcPr>
          <w:p>
            <w:pPr>
              <w:spacing w:after="0" w:line="240"/>
              <w:jc w:val="center"/>
            </w:pPr>
            <w:r>
              <w:rPr>
                <w:b w:val="false"/>
                <w:bCs w:val="false"/>
                <w:sz w:val="20"/>
                <w:szCs w:val="20"/>
              </w:rPr>
              <w:t xml:space="preserve">0%</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w:t>
            </w:r>
          </w:p>
        </w:tc>
      </w:tr>
      <w:tr>
        <w:trPr>
          <w:tblHeader w:val="false"/>
        </w:trPr>
        <w:tc>
          <w:tcPr>
            <w:tcW w:type="dxa" w:w="3085"/>
            <w:tcMar>
              <w:top w:type="dxa" w:w="60"/>
              <w:left w:type="dxa" w:w="80"/>
              <w:bottom w:type="dxa" w:w="60"/>
              <w:right w:type="dxa" w:w="80"/>
            </w:tcMar>
          </w:tcPr>
          <w:p>
            <w:pPr>
              <w:spacing w:after="0" w:line="240"/>
              <w:jc w:val="left"/>
            </w:pPr>
            <w:r>
              <w:rPr>
                <w:b w:val="false"/>
                <w:bCs w:val="false"/>
                <w:sz w:val="20"/>
                <w:szCs w:val="20"/>
              </w:rPr>
              <w:t xml:space="preserve">PV 150 kW + BESS 200 kWh</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7 966 kWh</w:t>
            </w:r>
          </w:p>
        </w:tc>
        <w:tc>
          <w:tcPr>
            <w:tcW w:type="dxa" w:w="1815"/>
            <w:tcMar>
              <w:top w:type="dxa" w:w="60"/>
              <w:left w:type="dxa" w:w="80"/>
              <w:bottom w:type="dxa" w:w="60"/>
              <w:right w:type="dxa" w:w="80"/>
            </w:tcMar>
          </w:tcPr>
          <w:p>
            <w:pPr>
              <w:spacing w:after="0" w:line="240"/>
              <w:jc w:val="center"/>
            </w:pPr>
            <w:r>
              <w:rPr>
                <w:b w:val="false"/>
                <w:bCs w:val="false"/>
                <w:sz w:val="20"/>
                <w:szCs w:val="20"/>
              </w:rPr>
              <w:t xml:space="preserve">9,1%</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w:t>
            </w:r>
          </w:p>
        </w:tc>
      </w:tr>
      <w:tr>
        <w:trPr>
          <w:tblHeader w:val="false"/>
        </w:trPr>
        <w:tc>
          <w:tcPr>
            <w:tcW w:type="dxa" w:w="3085"/>
            <w:shd w:fill="FFF2CC" w:val="clear"/>
            <w:tcMar>
              <w:top w:type="dxa" w:w="60"/>
              <w:left w:type="dxa" w:w="80"/>
              <w:bottom w:type="dxa" w:w="60"/>
              <w:right w:type="dxa" w:w="80"/>
            </w:tcMar>
          </w:tcPr>
          <w:p>
            <w:pPr>
              <w:spacing w:after="0" w:line="240"/>
              <w:jc w:val="left"/>
            </w:pPr>
            <w:r>
              <w:rPr>
                <w:b/>
                <w:bCs/>
                <w:sz w:val="20"/>
                <w:szCs w:val="20"/>
              </w:rPr>
              <w:t xml:space="preserve">PV 250 kW + CHP gazowy 100 kW</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1 046 kWh</w:t>
            </w:r>
          </w:p>
        </w:tc>
        <w:tc>
          <w:tcPr>
            <w:tcW w:type="dxa" w:w="1815"/>
            <w:shd w:fill="FFF2CC" w:val="clear"/>
            <w:tcMar>
              <w:top w:type="dxa" w:w="60"/>
              <w:left w:type="dxa" w:w="80"/>
              <w:bottom w:type="dxa" w:w="60"/>
              <w:right w:type="dxa" w:w="80"/>
            </w:tcMar>
          </w:tcPr>
          <w:p>
            <w:pPr>
              <w:spacing w:after="0" w:line="240"/>
              <w:jc w:val="center"/>
            </w:pPr>
            <w:r>
              <w:rPr>
                <w:b w:val="false"/>
                <w:bCs w:val="false"/>
                <w:sz w:val="20"/>
                <w:szCs w:val="20"/>
              </w:rPr>
              <w:t xml:space="preserve">88,1%</w:t>
            </w:r>
          </w:p>
        </w:tc>
        <w:tc>
          <w:tcPr>
            <w:tcW w:type="dxa" w:w="1996"/>
            <w:shd w:fill="FFF2CC" w:val="clear"/>
            <w:tcMar>
              <w:top w:type="dxa" w:w="60"/>
              <w:left w:type="dxa" w:w="80"/>
              <w:bottom w:type="dxa" w:w="60"/>
              <w:right w:type="dxa" w:w="80"/>
            </w:tcMar>
          </w:tcPr>
          <w:p>
            <w:pPr>
              <w:spacing w:after="0" w:line="240"/>
              <w:jc w:val="center"/>
            </w:pPr>
            <w:r>
              <w:rPr>
                <w:b w:val="false"/>
                <w:bCs w:val="false"/>
                <w:sz w:val="20"/>
                <w:szCs w:val="20"/>
              </w:rPr>
              <w:t xml:space="preserve">193 584 m³ gazu</w:t>
            </w:r>
          </w:p>
        </w:tc>
      </w:tr>
      <w:tr>
        <w:trPr>
          <w:tblHeader w:val="false"/>
        </w:trPr>
        <w:tc>
          <w:tcPr>
            <w:tcW w:type="dxa" w:w="3085"/>
            <w:tcMar>
              <w:top w:type="dxa" w:w="60"/>
              <w:left w:type="dxa" w:w="80"/>
              <w:bottom w:type="dxa" w:w="60"/>
              <w:right w:type="dxa" w:w="80"/>
            </w:tcMar>
          </w:tcPr>
          <w:p>
            <w:pPr>
              <w:spacing w:after="0" w:line="240"/>
              <w:jc w:val="left"/>
            </w:pPr>
            <w:r>
              <w:rPr>
                <w:b w:val="false"/>
                <w:bCs w:val="false"/>
                <w:sz w:val="20"/>
                <w:szCs w:val="20"/>
              </w:rPr>
              <w:t xml:space="preserve">Agregat Diesel 180 kW</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0 kWh</w:t>
            </w:r>
          </w:p>
        </w:tc>
        <w:tc>
          <w:tcPr>
            <w:tcW w:type="dxa" w:w="1815"/>
            <w:tcMar>
              <w:top w:type="dxa" w:w="60"/>
              <w:left w:type="dxa" w:w="80"/>
              <w:bottom w:type="dxa" w:w="60"/>
              <w:right w:type="dxa" w:w="80"/>
            </w:tcMar>
          </w:tcPr>
          <w:p>
            <w:pPr>
              <w:spacing w:after="0" w:line="240"/>
              <w:jc w:val="center"/>
            </w:pPr>
            <w:r>
              <w:rPr>
                <w:b w:val="false"/>
                <w:bCs w:val="false"/>
                <w:sz w:val="20"/>
                <w:szCs w:val="20"/>
              </w:rPr>
              <w:t xml:space="preserve">100%</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2 425 L ON</w:t>
            </w:r>
          </w:p>
        </w:tc>
      </w:tr>
    </w:tbl>
    <w:p>
      <w:pPr>
        <w:spacing w:after="200" w:before="80" w:line="240"/>
        <w:jc w:val="center"/>
      </w:pPr>
      <w:r>
        <w:rPr>
          <w:i/>
          <w:iCs/>
          <w:sz w:val="20"/>
          <w:szCs w:val="20"/>
        </w:rPr>
        <w:t xml:space="preserve">Tabela 11. Energia niedostarczona podczas 72-godzinnej awarii sieci</w:t>
      </w:r>
    </w:p>
    <w:p>
      <w:pPr>
        <w:pStyle w:val="Heading2"/>
        <w:spacing w:after="180" w:before="240" w:line="360"/>
      </w:pPr>
      <w:r>
        <w:rPr>
          <w:b/>
          <w:bCs/>
          <w:sz w:val="28"/>
          <w:szCs w:val="28"/>
        </w:rPr>
        <w:t xml:space="preserve">5.1. Ograniczenia układu PV + BESS w warunkach zimowych</w:t>
      </w:r>
    </w:p>
    <w:p>
      <w:pPr>
        <w:spacing w:after="120" w:before="0" w:line="360"/>
        <w:ind w:firstLine="566"/>
        <w:jc w:val="both"/>
      </w:pPr>
      <w:r>
        <w:rPr>
          <w:sz w:val="24"/>
          <w:szCs w:val="24"/>
        </w:rPr>
        <w:t xml:space="preserve">Uzyskany poziom pokrycia deficytu wynoszący 9,1% wynika z dwóch niezależnych ograniczeń występujących jednocześnie.</w:t>
      </w:r>
    </w:p>
    <w:p>
      <w:pPr>
        <w:spacing w:after="120" w:before="0" w:line="360"/>
        <w:ind w:firstLine="566"/>
        <w:jc w:val="both"/>
      </w:pPr>
      <w:r>
        <w:rPr>
          <w:sz w:val="24"/>
          <w:szCs w:val="24"/>
        </w:rPr>
        <w:t xml:space="preserve">Ograniczenie zasobu: w styczniu napromieniowanie wynosi 0,73 kWh/m²/dobę, co stanowi 15% wartości majowej. Produkcja fotowoltaiczna występuje wyłącznie w godzinach 9:00–15:00.</w:t>
      </w:r>
    </w:p>
    <w:p>
      <w:pPr>
        <w:spacing w:after="120" w:before="0" w:line="360"/>
        <w:ind w:firstLine="566"/>
        <w:jc w:val="both"/>
      </w:pPr>
      <w:r>
        <w:rPr>
          <w:sz w:val="24"/>
          <w:szCs w:val="24"/>
        </w:rPr>
        <w:t xml:space="preserve">Ograniczenie pojemności: magazyn o pojemności 200 kWh przy minimalnym stanie naładowania 40% udostępnia 120 kWh energii użytecznej. Przy średnim obciążeniu styczniowym rzędu 120 kW odpowiada to około jednej godzinie pracy autonomicznej, wobec wymaganych 72 godzin.</w:t>
      </w:r>
    </w:p>
    <w:p>
      <w:pPr>
        <w:spacing w:after="120" w:before="0" w:line="360"/>
        <w:ind w:firstLine="566"/>
        <w:jc w:val="both"/>
      </w:pPr>
      <w:r>
        <w:rPr>
          <w:sz w:val="24"/>
          <w:szCs w:val="24"/>
        </w:rPr>
        <w:t xml:space="preserve">Wynika stąd, że magazyn bateryjny w rozpatrywanej skali nie stanowi źródła autonomii długoterminowej, lecz element pomostowy zapewniający ciągłość zasilania w klasie 0,5 s do czasu uruchomienia źródła sterowalnego.</w:t>
      </w:r>
    </w:p>
    <w:p>
      <w:pPr>
        <w:pStyle w:val="Heading2"/>
        <w:spacing w:after="180" w:before="240" w:line="360"/>
      </w:pPr>
      <w:r>
        <w:rPr>
          <w:b/>
          <w:bCs/>
          <w:sz w:val="28"/>
          <w:szCs w:val="28"/>
        </w:rPr>
        <w:t xml:space="preserve">5.2. Porównanie źródeł sterowalnych</w:t>
      </w:r>
    </w:p>
    <w:p>
      <w:pPr>
        <w:spacing w:after="120" w:before="0" w:line="360"/>
        <w:ind w:firstLine="566"/>
        <w:jc w:val="both"/>
      </w:pPr>
      <w:r>
        <w:rPr>
          <w:sz w:val="24"/>
          <w:szCs w:val="24"/>
        </w:rPr>
        <w:t xml:space="preserve">Agregat wysokoprężny oraz kogeneracja gazowa zapewniają porównywalne pokrycie deficytu energetycznego, różnią się jednak zasadniczo pod względem odporności logistycznej.</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085"/>
        <w:gridCol w:w="2994"/>
        <w:gridCol w:w="2994"/>
      </w:tblGrid>
      <w:tr>
        <w:trPr>
          <w:tblHeader/>
        </w:trPr>
        <w:tc>
          <w:tcPr>
            <w:tcW w:type="dxa" w:w="3085"/>
            <w:shd w:fill="D9E2F3" w:val="clear"/>
            <w:tcMar>
              <w:top w:type="dxa" w:w="60"/>
              <w:left w:type="dxa" w:w="80"/>
              <w:bottom w:type="dxa" w:w="60"/>
              <w:right w:type="dxa" w:w="80"/>
            </w:tcMar>
          </w:tcPr>
          <w:p>
            <w:pPr>
              <w:spacing w:after="0" w:line="240"/>
              <w:jc w:val="left"/>
            </w:pPr>
            <w:r>
              <w:rPr>
                <w:b/>
                <w:bCs/>
                <w:sz w:val="20"/>
                <w:szCs w:val="20"/>
              </w:rPr>
              <w:t xml:space="preserve">Kryterium</w:t>
            </w:r>
          </w:p>
        </w:tc>
        <w:tc>
          <w:tcPr>
            <w:tcW w:type="dxa" w:w="2994"/>
            <w:shd w:fill="D9E2F3" w:val="clear"/>
            <w:tcMar>
              <w:top w:type="dxa" w:w="60"/>
              <w:left w:type="dxa" w:w="80"/>
              <w:bottom w:type="dxa" w:w="60"/>
              <w:right w:type="dxa" w:w="80"/>
            </w:tcMar>
          </w:tcPr>
          <w:p>
            <w:pPr>
              <w:spacing w:after="0" w:line="240"/>
              <w:jc w:val="center"/>
            </w:pPr>
            <w:r>
              <w:rPr>
                <w:b/>
                <w:bCs/>
                <w:sz w:val="20"/>
                <w:szCs w:val="20"/>
              </w:rPr>
              <w:t xml:space="preserve">Agregat Diesel</w:t>
            </w:r>
          </w:p>
        </w:tc>
        <w:tc>
          <w:tcPr>
            <w:tcW w:type="dxa" w:w="2994"/>
            <w:shd w:fill="D9E2F3" w:val="clear"/>
            <w:tcMar>
              <w:top w:type="dxa" w:w="60"/>
              <w:left w:type="dxa" w:w="80"/>
              <w:bottom w:type="dxa" w:w="60"/>
              <w:right w:type="dxa" w:w="80"/>
            </w:tcMar>
          </w:tcPr>
          <w:p>
            <w:pPr>
              <w:spacing w:after="0" w:line="240"/>
              <w:jc w:val="center"/>
            </w:pPr>
            <w:r>
              <w:rPr>
                <w:b/>
                <w:bCs/>
                <w:sz w:val="20"/>
                <w:szCs w:val="20"/>
              </w:rPr>
              <w:t xml:space="preserve">Kogeneracja gazowa</w:t>
            </w:r>
          </w:p>
        </w:tc>
      </w:tr>
      <w:tr>
        <w:trPr>
          <w:tblHeader w:val="false"/>
        </w:trPr>
        <w:tc>
          <w:tcPr>
            <w:tcW w:type="dxa" w:w="3085"/>
            <w:tcMar>
              <w:top w:type="dxa" w:w="60"/>
              <w:left w:type="dxa" w:w="80"/>
              <w:bottom w:type="dxa" w:w="60"/>
              <w:right w:type="dxa" w:w="80"/>
            </w:tcMar>
          </w:tcPr>
          <w:p>
            <w:pPr>
              <w:spacing w:after="0" w:line="240"/>
              <w:jc w:val="left"/>
            </w:pPr>
            <w:r>
              <w:rPr>
                <w:sz w:val="20"/>
                <w:szCs w:val="20"/>
              </w:rPr>
              <w:t xml:space="preserve">Zapotrzebowanie na paliwo (72 h)</w:t>
            </w:r>
          </w:p>
        </w:tc>
        <w:tc>
          <w:tcPr>
            <w:tcW w:type="dxa" w:w="2994"/>
            <w:tcMar>
              <w:top w:type="dxa" w:w="60"/>
              <w:left w:type="dxa" w:w="80"/>
              <w:bottom w:type="dxa" w:w="60"/>
              <w:right w:type="dxa" w:w="80"/>
            </w:tcMar>
          </w:tcPr>
          <w:p>
            <w:pPr>
              <w:spacing w:after="0" w:line="240"/>
              <w:jc w:val="center"/>
            </w:pPr>
            <w:r>
              <w:rPr>
                <w:sz w:val="20"/>
                <w:szCs w:val="20"/>
              </w:rPr>
              <w:t xml:space="preserve">2 425 L</w:t>
            </w:r>
          </w:p>
        </w:tc>
        <w:tc>
          <w:tcPr>
            <w:tcW w:type="dxa" w:w="2994"/>
            <w:tcMar>
              <w:top w:type="dxa" w:w="60"/>
              <w:left w:type="dxa" w:w="80"/>
              <w:bottom w:type="dxa" w:w="60"/>
              <w:right w:type="dxa" w:w="80"/>
            </w:tcMar>
          </w:tcPr>
          <w:p>
            <w:pPr>
              <w:spacing w:after="0" w:line="240"/>
              <w:jc w:val="center"/>
            </w:pPr>
            <w:r>
              <w:rPr>
                <w:sz w:val="20"/>
                <w:szCs w:val="20"/>
              </w:rPr>
              <w:t xml:space="preserve">dostawa ciągła siecią</w:t>
            </w:r>
          </w:p>
        </w:tc>
      </w:tr>
      <w:tr>
        <w:trPr>
          <w:tblHeader w:val="false"/>
        </w:trPr>
        <w:tc>
          <w:tcPr>
            <w:tcW w:type="dxa" w:w="3085"/>
            <w:tcMar>
              <w:top w:type="dxa" w:w="60"/>
              <w:left w:type="dxa" w:w="80"/>
              <w:bottom w:type="dxa" w:w="60"/>
              <w:right w:type="dxa" w:w="80"/>
            </w:tcMar>
          </w:tcPr>
          <w:p>
            <w:pPr>
              <w:spacing w:after="0" w:line="240"/>
              <w:jc w:val="left"/>
            </w:pPr>
            <w:r>
              <w:rPr>
                <w:sz w:val="20"/>
                <w:szCs w:val="20"/>
              </w:rPr>
              <w:t xml:space="preserve">Sposób dostawy paliwa</w:t>
            </w:r>
          </w:p>
        </w:tc>
        <w:tc>
          <w:tcPr>
            <w:tcW w:type="dxa" w:w="2994"/>
            <w:tcMar>
              <w:top w:type="dxa" w:w="60"/>
              <w:left w:type="dxa" w:w="80"/>
              <w:bottom w:type="dxa" w:w="60"/>
              <w:right w:type="dxa" w:w="80"/>
            </w:tcMar>
          </w:tcPr>
          <w:p>
            <w:pPr>
              <w:spacing w:after="0" w:line="240"/>
              <w:jc w:val="center"/>
            </w:pPr>
            <w:r>
              <w:rPr>
                <w:sz w:val="20"/>
                <w:szCs w:val="20"/>
              </w:rPr>
              <w:t xml:space="preserve">transport drogowy</w:t>
            </w:r>
          </w:p>
        </w:tc>
        <w:tc>
          <w:tcPr>
            <w:tcW w:type="dxa" w:w="2994"/>
            <w:tcMar>
              <w:top w:type="dxa" w:w="60"/>
              <w:left w:type="dxa" w:w="80"/>
              <w:bottom w:type="dxa" w:w="60"/>
              <w:right w:type="dxa" w:w="80"/>
            </w:tcMar>
          </w:tcPr>
          <w:p>
            <w:pPr>
              <w:spacing w:after="0" w:line="240"/>
              <w:jc w:val="center"/>
            </w:pPr>
            <w:r>
              <w:rPr>
                <w:sz w:val="20"/>
                <w:szCs w:val="20"/>
              </w:rPr>
              <w:t xml:space="preserve">sieć gazowa</w:t>
            </w:r>
          </w:p>
        </w:tc>
      </w:tr>
      <w:tr>
        <w:trPr>
          <w:tblHeader w:val="false"/>
        </w:trPr>
        <w:tc>
          <w:tcPr>
            <w:tcW w:type="dxa" w:w="3085"/>
            <w:tcMar>
              <w:top w:type="dxa" w:w="60"/>
              <w:left w:type="dxa" w:w="80"/>
              <w:bottom w:type="dxa" w:w="60"/>
              <w:right w:type="dxa" w:w="80"/>
            </w:tcMar>
          </w:tcPr>
          <w:p>
            <w:pPr>
              <w:spacing w:after="0" w:line="240"/>
              <w:jc w:val="left"/>
            </w:pPr>
            <w:r>
              <w:rPr>
                <w:sz w:val="20"/>
                <w:szCs w:val="20"/>
              </w:rPr>
              <w:t xml:space="preserve">Podatność na zdarzenia black-sky</w:t>
            </w:r>
          </w:p>
        </w:tc>
        <w:tc>
          <w:tcPr>
            <w:tcW w:type="dxa" w:w="2994"/>
            <w:tcMar>
              <w:top w:type="dxa" w:w="60"/>
              <w:left w:type="dxa" w:w="80"/>
              <w:bottom w:type="dxa" w:w="60"/>
              <w:right w:type="dxa" w:w="80"/>
            </w:tcMar>
          </w:tcPr>
          <w:p>
            <w:pPr>
              <w:spacing w:after="0" w:line="240"/>
              <w:jc w:val="center"/>
            </w:pPr>
            <w:r>
              <w:rPr>
                <w:sz w:val="20"/>
                <w:szCs w:val="20"/>
              </w:rPr>
              <w:t xml:space="preserve">wysoka</w:t>
            </w:r>
          </w:p>
        </w:tc>
        <w:tc>
          <w:tcPr>
            <w:tcW w:type="dxa" w:w="2994"/>
            <w:tcMar>
              <w:top w:type="dxa" w:w="60"/>
              <w:left w:type="dxa" w:w="80"/>
              <w:bottom w:type="dxa" w:w="60"/>
              <w:right w:type="dxa" w:w="80"/>
            </w:tcMar>
          </w:tcPr>
          <w:p>
            <w:pPr>
              <w:spacing w:after="0" w:line="240"/>
              <w:jc w:val="center"/>
            </w:pPr>
            <w:r>
              <w:rPr>
                <w:sz w:val="20"/>
                <w:szCs w:val="20"/>
              </w:rPr>
              <w:t xml:space="preserve">niska</w:t>
            </w:r>
          </w:p>
        </w:tc>
      </w:tr>
      <w:tr>
        <w:trPr>
          <w:tblHeader w:val="false"/>
        </w:trPr>
        <w:tc>
          <w:tcPr>
            <w:tcW w:type="dxa" w:w="3085"/>
            <w:tcMar>
              <w:top w:type="dxa" w:w="60"/>
              <w:left w:type="dxa" w:w="80"/>
              <w:bottom w:type="dxa" w:w="60"/>
              <w:right w:type="dxa" w:w="80"/>
            </w:tcMar>
          </w:tcPr>
          <w:p>
            <w:pPr>
              <w:spacing w:after="0" w:line="240"/>
              <w:jc w:val="left"/>
            </w:pPr>
            <w:r>
              <w:rPr>
                <w:sz w:val="20"/>
                <w:szCs w:val="20"/>
              </w:rPr>
              <w:t xml:space="preserve">Praca poza okresem awarii</w:t>
            </w:r>
          </w:p>
        </w:tc>
        <w:tc>
          <w:tcPr>
            <w:tcW w:type="dxa" w:w="2994"/>
            <w:tcMar>
              <w:top w:type="dxa" w:w="60"/>
              <w:left w:type="dxa" w:w="80"/>
              <w:bottom w:type="dxa" w:w="60"/>
              <w:right w:type="dxa" w:w="80"/>
            </w:tcMar>
          </w:tcPr>
          <w:p>
            <w:pPr>
              <w:spacing w:after="0" w:line="240"/>
              <w:jc w:val="center"/>
            </w:pPr>
            <w:r>
              <w:rPr>
                <w:sz w:val="20"/>
                <w:szCs w:val="20"/>
              </w:rPr>
              <w:t xml:space="preserve">0 h/rok</w:t>
            </w:r>
          </w:p>
        </w:tc>
        <w:tc>
          <w:tcPr>
            <w:tcW w:type="dxa" w:w="2994"/>
            <w:tcMar>
              <w:top w:type="dxa" w:w="60"/>
              <w:left w:type="dxa" w:w="80"/>
              <w:bottom w:type="dxa" w:w="60"/>
              <w:right w:type="dxa" w:w="80"/>
            </w:tcMar>
          </w:tcPr>
          <w:p>
            <w:pPr>
              <w:spacing w:after="0" w:line="240"/>
              <w:jc w:val="center"/>
            </w:pPr>
            <w:r>
              <w:rPr>
                <w:sz w:val="20"/>
                <w:szCs w:val="20"/>
              </w:rPr>
              <w:t xml:space="preserve">7 112 h/rok</w:t>
            </w:r>
          </w:p>
        </w:tc>
      </w:tr>
    </w:tbl>
    <w:p>
      <w:pPr>
        <w:spacing w:after="200" w:before="80" w:line="240"/>
        <w:jc w:val="center"/>
      </w:pPr>
      <w:r>
        <w:rPr>
          <w:i/>
          <w:iCs/>
          <w:sz w:val="20"/>
          <w:szCs w:val="20"/>
        </w:rPr>
        <w:t xml:space="preserve">Tabela 12. Porównanie odporności logistycznej źródeł sterowalnych</w:t>
      </w:r>
    </w:p>
    <w:p>
      <w:pPr>
        <w:spacing w:after="120" w:before="0" w:line="360"/>
        <w:ind w:firstLine="566"/>
        <w:jc w:val="both"/>
      </w:pPr>
      <w:r>
        <w:rPr>
          <w:sz w:val="24"/>
          <w:szCs w:val="24"/>
        </w:rPr>
        <w:t xml:space="preserve">Przy typowej pojemności zbiornika przyagregatowego wynoszącej 1 000–1 500 litrów pokrycie 72-godzinnej awarii wymaga uzupełnienia paliwa w trakcie trwania zdarzenia — w warunkach, w których transport drogowy może być niemożliwy. Kogeneracja gazowa eliminuje tę zależność, jednocześnie uczestnicząc w bieżącej optymalizacji kosztów przez cały rok.</w:t>
      </w:r>
    </w:p>
    <w:p>
      <w:r>
        <w:br w:type="page"/>
      </w:r>
    </w:p>
    <w:p>
      <w:pPr>
        <w:pStyle w:val="Heading1"/>
        <w:spacing w:after="240" w:before="240" w:line="360"/>
      </w:pPr>
      <w:r>
        <w:rPr>
          <w:b/>
          <w:bCs/>
          <w:sz w:val="28"/>
          <w:szCs w:val="28"/>
        </w:rPr>
        <w:t xml:space="preserve">6. Wyniki — wariant A2 (seria przerw krótkotrwałych)</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903"/>
        <w:gridCol w:w="2359"/>
        <w:gridCol w:w="1996"/>
        <w:gridCol w:w="1815"/>
      </w:tblGrid>
      <w:tr>
        <w:trPr>
          <w:tblHeader/>
        </w:trPr>
        <w:tc>
          <w:tcPr>
            <w:tcW w:type="dxa" w:w="2903"/>
            <w:shd w:fill="D9E2F3" w:val="clear"/>
            <w:tcMar>
              <w:top w:type="dxa" w:w="60"/>
              <w:left w:type="dxa" w:w="80"/>
              <w:bottom w:type="dxa" w:w="60"/>
              <w:right w:type="dxa" w:w="80"/>
            </w:tcMar>
          </w:tcPr>
          <w:p>
            <w:pPr>
              <w:spacing w:after="0" w:line="240"/>
              <w:jc w:val="left"/>
            </w:pPr>
            <w:r>
              <w:rPr>
                <w:b/>
                <w:bCs/>
                <w:sz w:val="20"/>
                <w:szCs w:val="20"/>
              </w:rPr>
              <w:t xml:space="preserve">Konfiguracja</w:t>
            </w:r>
          </w:p>
        </w:tc>
        <w:tc>
          <w:tcPr>
            <w:tcW w:type="dxa" w:w="2359"/>
            <w:shd w:fill="D9E2F3" w:val="clear"/>
            <w:tcMar>
              <w:top w:type="dxa" w:w="60"/>
              <w:left w:type="dxa" w:w="80"/>
              <w:bottom w:type="dxa" w:w="60"/>
              <w:right w:type="dxa" w:w="80"/>
            </w:tcMar>
          </w:tcPr>
          <w:p>
            <w:pPr>
              <w:spacing w:after="0" w:line="240"/>
              <w:jc w:val="center"/>
            </w:pPr>
            <w:r>
              <w:rPr>
                <w:b/>
                <w:bCs/>
                <w:sz w:val="20"/>
                <w:szCs w:val="20"/>
              </w:rPr>
              <w:t xml:space="preserve">Energia niedostarczona</w:t>
            </w:r>
          </w:p>
        </w:tc>
        <w:tc>
          <w:tcPr>
            <w:tcW w:type="dxa" w:w="1996"/>
            <w:shd w:fill="D9E2F3" w:val="clear"/>
            <w:tcMar>
              <w:top w:type="dxa" w:w="60"/>
              <w:left w:type="dxa" w:w="80"/>
              <w:bottom w:type="dxa" w:w="60"/>
              <w:right w:type="dxa" w:w="80"/>
            </w:tcMar>
          </w:tcPr>
          <w:p>
            <w:pPr>
              <w:spacing w:after="0" w:line="240"/>
              <w:jc w:val="center"/>
            </w:pPr>
            <w:r>
              <w:rPr>
                <w:b/>
                <w:bCs/>
                <w:sz w:val="20"/>
                <w:szCs w:val="20"/>
              </w:rPr>
              <w:t xml:space="preserve">Niedobór mocy</w:t>
            </w:r>
          </w:p>
        </w:tc>
        <w:tc>
          <w:tcPr>
            <w:tcW w:type="dxa" w:w="1815"/>
            <w:shd w:fill="D9E2F3" w:val="clear"/>
            <w:tcMar>
              <w:top w:type="dxa" w:w="60"/>
              <w:left w:type="dxa" w:w="80"/>
              <w:bottom w:type="dxa" w:w="60"/>
              <w:right w:type="dxa" w:w="80"/>
            </w:tcMar>
          </w:tcPr>
          <w:p>
            <w:pPr>
              <w:spacing w:after="0" w:line="240"/>
              <w:jc w:val="center"/>
            </w:pPr>
            <w:r>
              <w:rPr>
                <w:b/>
                <w:bCs/>
                <w:sz w:val="20"/>
                <w:szCs w:val="20"/>
              </w:rPr>
              <w:t xml:space="preserve">Redukcja</w:t>
            </w:r>
          </w:p>
        </w:tc>
      </w:tr>
      <w:tr>
        <w:trPr>
          <w:tblHeader w:val="false"/>
        </w:trPr>
        <w:tc>
          <w:tcPr>
            <w:tcW w:type="dxa" w:w="2903"/>
            <w:tcMar>
              <w:top w:type="dxa" w:w="60"/>
              <w:left w:type="dxa" w:w="80"/>
              <w:bottom w:type="dxa" w:w="60"/>
              <w:right w:type="dxa" w:w="80"/>
            </w:tcMar>
          </w:tcPr>
          <w:p>
            <w:pPr>
              <w:spacing w:after="0" w:line="240"/>
              <w:jc w:val="left"/>
            </w:pPr>
            <w:r>
              <w:rPr>
                <w:b w:val="false"/>
                <w:bCs w:val="false"/>
                <w:sz w:val="20"/>
                <w:szCs w:val="20"/>
              </w:rPr>
              <w:t xml:space="preserve">Sama sieć — bez rezerwy</w:t>
            </w:r>
          </w:p>
        </w:tc>
        <w:tc>
          <w:tcPr>
            <w:tcW w:type="dxa" w:w="2359"/>
            <w:tcMar>
              <w:top w:type="dxa" w:w="60"/>
              <w:left w:type="dxa" w:w="80"/>
              <w:bottom w:type="dxa" w:w="60"/>
              <w:right w:type="dxa" w:w="80"/>
            </w:tcMar>
          </w:tcPr>
          <w:p>
            <w:pPr>
              <w:spacing w:after="0" w:line="240"/>
              <w:jc w:val="center"/>
            </w:pPr>
            <w:r>
              <w:rPr>
                <w:b w:val="false"/>
                <w:bCs w:val="false"/>
                <w:sz w:val="20"/>
                <w:szCs w:val="20"/>
              </w:rPr>
              <w:t xml:space="preserve">2 520 kWh (0,252%)</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2 772 kWh</w:t>
            </w:r>
          </w:p>
        </w:tc>
        <w:tc>
          <w:tcPr>
            <w:tcW w:type="dxa" w:w="1815"/>
            <w:tcMar>
              <w:top w:type="dxa" w:w="60"/>
              <w:left w:type="dxa" w:w="80"/>
              <w:bottom w:type="dxa" w:w="60"/>
              <w:right w:type="dxa" w:w="80"/>
            </w:tcMar>
          </w:tcPr>
          <w:p>
            <w:pPr>
              <w:spacing w:after="0" w:line="240"/>
              <w:jc w:val="center"/>
            </w:pPr>
            <w:r>
              <w:rPr>
                <w:b w:val="false"/>
                <w:bCs w:val="false"/>
                <w:sz w:val="20"/>
                <w:szCs w:val="20"/>
              </w:rPr>
              <w:t xml:space="preserve">—</w:t>
            </w:r>
          </w:p>
        </w:tc>
      </w:tr>
      <w:tr>
        <w:trPr>
          <w:tblHeader w:val="false"/>
        </w:trPr>
        <w:tc>
          <w:tcPr>
            <w:tcW w:type="dxa" w:w="2903"/>
            <w:shd w:fill="FFF2CC" w:val="clear"/>
            <w:tcMar>
              <w:top w:type="dxa" w:w="60"/>
              <w:left w:type="dxa" w:w="80"/>
              <w:bottom w:type="dxa" w:w="60"/>
              <w:right w:type="dxa" w:w="80"/>
            </w:tcMar>
          </w:tcPr>
          <w:p>
            <w:pPr>
              <w:spacing w:after="0" w:line="240"/>
              <w:jc w:val="left"/>
            </w:pPr>
            <w:r>
              <w:rPr>
                <w:b/>
                <w:bCs/>
                <w:sz w:val="20"/>
                <w:szCs w:val="20"/>
              </w:rPr>
              <w:t xml:space="preserve">PV 250 kW + CHP gazowy</w:t>
            </w:r>
          </w:p>
        </w:tc>
        <w:tc>
          <w:tcPr>
            <w:tcW w:type="dxa" w:w="2359"/>
            <w:shd w:fill="FFF2CC" w:val="clear"/>
            <w:tcMar>
              <w:top w:type="dxa" w:w="60"/>
              <w:left w:type="dxa" w:w="80"/>
              <w:bottom w:type="dxa" w:w="60"/>
              <w:right w:type="dxa" w:w="80"/>
            </w:tcMar>
          </w:tcPr>
          <w:p>
            <w:pPr>
              <w:spacing w:after="0" w:line="240"/>
              <w:jc w:val="center"/>
            </w:pPr>
            <w:r>
              <w:rPr>
                <w:b w:val="false"/>
                <w:bCs w:val="false"/>
                <w:sz w:val="20"/>
                <w:szCs w:val="20"/>
              </w:rPr>
              <w:t xml:space="preserve">279 kWh (0,028%)</w:t>
            </w:r>
          </w:p>
        </w:tc>
        <w:tc>
          <w:tcPr>
            <w:tcW w:type="dxa" w:w="1996"/>
            <w:shd w:fill="FFF2CC" w:val="clear"/>
            <w:tcMar>
              <w:top w:type="dxa" w:w="60"/>
              <w:left w:type="dxa" w:w="80"/>
              <w:bottom w:type="dxa" w:w="60"/>
              <w:right w:type="dxa" w:w="80"/>
            </w:tcMar>
          </w:tcPr>
          <w:p>
            <w:pPr>
              <w:spacing w:after="0" w:line="240"/>
              <w:jc w:val="center"/>
            </w:pPr>
            <w:r>
              <w:rPr>
                <w:b w:val="false"/>
                <w:bCs w:val="false"/>
                <w:sz w:val="20"/>
                <w:szCs w:val="20"/>
              </w:rPr>
              <w:t xml:space="preserve">628 kWh</w:t>
            </w:r>
          </w:p>
        </w:tc>
        <w:tc>
          <w:tcPr>
            <w:tcW w:type="dxa" w:w="1815"/>
            <w:shd w:fill="FFF2CC" w:val="clear"/>
            <w:tcMar>
              <w:top w:type="dxa" w:w="60"/>
              <w:left w:type="dxa" w:w="80"/>
              <w:bottom w:type="dxa" w:w="60"/>
              <w:right w:type="dxa" w:w="80"/>
            </w:tcMar>
          </w:tcPr>
          <w:p>
            <w:pPr>
              <w:spacing w:after="0" w:line="240"/>
              <w:jc w:val="center"/>
            </w:pPr>
            <w:r>
              <w:rPr>
                <w:b w:val="false"/>
                <w:bCs w:val="false"/>
                <w:sz w:val="20"/>
                <w:szCs w:val="20"/>
              </w:rPr>
              <w:t xml:space="preserve">−88,9%</w:t>
            </w:r>
          </w:p>
        </w:tc>
      </w:tr>
    </w:tbl>
    <w:p>
      <w:pPr>
        <w:spacing w:after="200" w:before="80" w:line="240"/>
        <w:jc w:val="center"/>
      </w:pPr>
      <w:r>
        <w:rPr>
          <w:i/>
          <w:iCs/>
          <w:sz w:val="20"/>
          <w:szCs w:val="20"/>
        </w:rPr>
        <w:t xml:space="preserve">Tabela 13. Energia niedostarczona podczas serii pięciu przerw krótkotrwałych</w:t>
      </w:r>
    </w:p>
    <w:p>
      <w:pPr>
        <w:spacing w:after="120" w:before="0" w:line="360"/>
        <w:ind w:firstLine="566"/>
        <w:jc w:val="both"/>
      </w:pPr>
      <w:r>
        <w:rPr>
          <w:sz w:val="24"/>
          <w:szCs w:val="24"/>
        </w:rPr>
        <w:t xml:space="preserve">Konfiguracja z kogeneracją redukuje energię niedostarczoną niemal dziewięciokrotnie. Pozostałe 279 kWh odpowiada przerwom występującym w godzinach, w których jednostka pracowała z mocą niższą od chwilowego zapotrzebowania obiektu.</w:t>
      </w:r>
    </w:p>
    <w:p>
      <w:pPr>
        <w:pStyle w:val="Heading1"/>
        <w:spacing w:after="240" w:before="240" w:line="360"/>
      </w:pPr>
      <w:r>
        <w:rPr>
          <w:b/>
          <w:bCs/>
          <w:sz w:val="28"/>
          <w:szCs w:val="28"/>
        </w:rPr>
        <w:t xml:space="preserve">7. Zestawienie zbiorcze</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540"/>
        <w:gridCol w:w="2178"/>
        <w:gridCol w:w="2178"/>
        <w:gridCol w:w="2178"/>
      </w:tblGrid>
      <w:tr>
        <w:trPr>
          <w:tblHeader/>
        </w:trPr>
        <w:tc>
          <w:tcPr>
            <w:tcW w:type="dxa" w:w="2540"/>
            <w:shd w:fill="D9E2F3" w:val="clear"/>
            <w:tcMar>
              <w:top w:type="dxa" w:w="60"/>
              <w:left w:type="dxa" w:w="80"/>
              <w:bottom w:type="dxa" w:w="60"/>
              <w:right w:type="dxa" w:w="80"/>
            </w:tcMar>
          </w:tcPr>
          <w:p>
            <w:pPr>
              <w:spacing w:after="0" w:line="240"/>
              <w:jc w:val="left"/>
            </w:pPr>
            <w:r>
              <w:rPr>
                <w:b/>
                <w:bCs/>
                <w:sz w:val="20"/>
                <w:szCs w:val="20"/>
              </w:rPr>
              <w:t xml:space="preserve">Wskaźnik</w:t>
            </w:r>
          </w:p>
        </w:tc>
        <w:tc>
          <w:tcPr>
            <w:tcW w:type="dxa" w:w="2178"/>
            <w:shd w:fill="D9E2F3" w:val="clear"/>
            <w:tcMar>
              <w:top w:type="dxa" w:w="60"/>
              <w:left w:type="dxa" w:w="80"/>
              <w:bottom w:type="dxa" w:w="60"/>
              <w:right w:type="dxa" w:w="80"/>
            </w:tcMar>
          </w:tcPr>
          <w:p>
            <w:pPr>
              <w:spacing w:after="0" w:line="240"/>
              <w:jc w:val="center"/>
            </w:pPr>
            <w:r>
              <w:rPr>
                <w:b/>
                <w:bCs/>
                <w:sz w:val="20"/>
                <w:szCs w:val="20"/>
              </w:rPr>
              <w:t xml:space="preserve">K1 Baza</w:t>
            </w:r>
          </w:p>
        </w:tc>
        <w:tc>
          <w:tcPr>
            <w:tcW w:type="dxa" w:w="2178"/>
            <w:shd w:fill="D9E2F3" w:val="clear"/>
            <w:tcMar>
              <w:top w:type="dxa" w:w="60"/>
              <w:left w:type="dxa" w:w="80"/>
              <w:bottom w:type="dxa" w:w="60"/>
              <w:right w:type="dxa" w:w="80"/>
            </w:tcMar>
          </w:tcPr>
          <w:p>
            <w:pPr>
              <w:spacing w:after="0" w:line="240"/>
              <w:jc w:val="center"/>
            </w:pPr>
            <w:r>
              <w:rPr>
                <w:b/>
                <w:bCs/>
                <w:sz w:val="20"/>
                <w:szCs w:val="20"/>
              </w:rPr>
              <w:t xml:space="preserve">K2 Hybryda</w:t>
            </w:r>
          </w:p>
        </w:tc>
        <w:tc>
          <w:tcPr>
            <w:tcW w:type="dxa" w:w="2178"/>
            <w:shd w:fill="D9E2F3" w:val="clear"/>
            <w:tcMar>
              <w:top w:type="dxa" w:w="60"/>
              <w:left w:type="dxa" w:w="80"/>
              <w:bottom w:type="dxa" w:w="60"/>
              <w:right w:type="dxa" w:w="80"/>
            </w:tcMar>
          </w:tcPr>
          <w:p>
            <w:pPr>
              <w:spacing w:after="0" w:line="240"/>
              <w:jc w:val="center"/>
            </w:pPr>
            <w:r>
              <w:rPr>
                <w:b/>
                <w:bCs/>
                <w:sz w:val="20"/>
                <w:szCs w:val="20"/>
              </w:rPr>
              <w:t xml:space="preserve">K3 Mikrosieć</w:t>
            </w:r>
          </w:p>
        </w:tc>
      </w:tr>
      <w:tr>
        <w:trPr>
          <w:tblHeader w:val="false"/>
        </w:trPr>
        <w:tc>
          <w:tcPr>
            <w:tcW w:type="dxa" w:w="2540"/>
            <w:tcMar>
              <w:top w:type="dxa" w:w="60"/>
              <w:left w:type="dxa" w:w="80"/>
              <w:bottom w:type="dxa" w:w="60"/>
              <w:right w:type="dxa" w:w="80"/>
            </w:tcMar>
          </w:tcPr>
          <w:p>
            <w:pPr>
              <w:spacing w:after="0" w:line="240"/>
              <w:jc w:val="left"/>
            </w:pPr>
            <w:r>
              <w:rPr>
                <w:b w:val="false"/>
                <w:bCs w:val="false"/>
                <w:sz w:val="20"/>
                <w:szCs w:val="20"/>
              </w:rPr>
              <w:t xml:space="preserve">NPC (wariant A0)</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2,84 M$</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2,54 M$</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4,30 M$ *</w:t>
            </w:r>
          </w:p>
        </w:tc>
      </w:tr>
      <w:tr>
        <w:trPr>
          <w:tblHeader w:val="false"/>
        </w:trPr>
        <w:tc>
          <w:tcPr>
            <w:tcW w:type="dxa" w:w="2540"/>
            <w:tcMar>
              <w:top w:type="dxa" w:w="60"/>
              <w:left w:type="dxa" w:w="80"/>
              <w:bottom w:type="dxa" w:w="60"/>
              <w:right w:type="dxa" w:w="80"/>
            </w:tcMar>
          </w:tcPr>
          <w:p>
            <w:pPr>
              <w:spacing w:after="0" w:line="240"/>
              <w:jc w:val="left"/>
            </w:pPr>
            <w:r>
              <w:rPr>
                <w:b w:val="false"/>
                <w:bCs w:val="false"/>
                <w:sz w:val="20"/>
                <w:szCs w:val="20"/>
              </w:rPr>
              <w:t xml:space="preserve">LCOE [$/kWh]</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0,220</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0,196</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0,192</w:t>
            </w:r>
          </w:p>
        </w:tc>
      </w:tr>
      <w:tr>
        <w:trPr>
          <w:tblHeader w:val="false"/>
        </w:trPr>
        <w:tc>
          <w:tcPr>
            <w:tcW w:type="dxa" w:w="2540"/>
            <w:tcMar>
              <w:top w:type="dxa" w:w="60"/>
              <w:left w:type="dxa" w:w="80"/>
              <w:bottom w:type="dxa" w:w="60"/>
              <w:right w:type="dxa" w:w="80"/>
            </w:tcMar>
          </w:tcPr>
          <w:p>
            <w:pPr>
              <w:spacing w:after="0" w:line="240"/>
              <w:jc w:val="left"/>
            </w:pPr>
            <w:r>
              <w:rPr>
                <w:b w:val="false"/>
                <w:bCs w:val="false"/>
                <w:sz w:val="20"/>
                <w:szCs w:val="20"/>
              </w:rPr>
              <w:t xml:space="preserve">CAPEX</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0–90 tys. $</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245 tys. $</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695 tys. $</w:t>
            </w:r>
          </w:p>
        </w:tc>
      </w:tr>
      <w:tr>
        <w:trPr>
          <w:tblHeader w:val="false"/>
        </w:trPr>
        <w:tc>
          <w:tcPr>
            <w:tcW w:type="dxa" w:w="2540"/>
            <w:tcMar>
              <w:top w:type="dxa" w:w="60"/>
              <w:left w:type="dxa" w:w="80"/>
              <w:bottom w:type="dxa" w:w="60"/>
              <w:right w:type="dxa" w:w="80"/>
            </w:tcMar>
          </w:tcPr>
          <w:p>
            <w:pPr>
              <w:spacing w:after="0" w:line="240"/>
              <w:jc w:val="left"/>
            </w:pPr>
            <w:r>
              <w:rPr>
                <w:b w:val="false"/>
                <w:bCs w:val="false"/>
                <w:sz w:val="20"/>
                <w:szCs w:val="20"/>
              </w:rPr>
              <w:t xml:space="preserve">Okres zwrotu</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5,7 lat</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7,9 lat</w:t>
            </w:r>
          </w:p>
        </w:tc>
      </w:tr>
      <w:tr>
        <w:trPr>
          <w:tblHeader w:val="false"/>
        </w:trPr>
        <w:tc>
          <w:tcPr>
            <w:tcW w:type="dxa" w:w="2540"/>
            <w:tcMar>
              <w:top w:type="dxa" w:w="60"/>
              <w:left w:type="dxa" w:w="80"/>
              <w:bottom w:type="dxa" w:w="60"/>
              <w:right w:type="dxa" w:w="80"/>
            </w:tcMar>
          </w:tcPr>
          <w:p>
            <w:pPr>
              <w:spacing w:after="0" w:line="240"/>
              <w:jc w:val="left"/>
            </w:pPr>
            <w:r>
              <w:rPr>
                <w:b w:val="false"/>
                <w:bCs w:val="false"/>
                <w:sz w:val="20"/>
                <w:szCs w:val="20"/>
              </w:rPr>
              <w:t xml:space="preserve">Udział źródeł własnych</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0%</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21,0%</w:t>
            </w:r>
          </w:p>
        </w:tc>
        <w:tc>
          <w:tcPr>
            <w:tcW w:type="dxa" w:w="2178"/>
            <w:tcMar>
              <w:top w:type="dxa" w:w="60"/>
              <w:left w:type="dxa" w:w="80"/>
              <w:bottom w:type="dxa" w:w="60"/>
              <w:right w:type="dxa" w:w="80"/>
            </w:tcMar>
          </w:tcPr>
          <w:p>
            <w:pPr>
              <w:spacing w:after="0" w:line="240"/>
              <w:jc w:val="center"/>
            </w:pPr>
            <w:r>
              <w:rPr>
                <w:b w:val="false"/>
                <w:bCs w:val="false"/>
                <w:sz w:val="20"/>
                <w:szCs w:val="20"/>
              </w:rPr>
              <w:t xml:space="preserve">87,3%</w:t>
            </w:r>
          </w:p>
        </w:tc>
      </w:tr>
      <w:tr>
        <w:trPr>
          <w:tblHeader w:val="false"/>
        </w:trPr>
        <w:tc>
          <w:tcPr>
            <w:tcW w:type="dxa" w:w="2540"/>
            <w:shd w:fill="FFF2CC" w:val="clear"/>
            <w:tcMar>
              <w:top w:type="dxa" w:w="60"/>
              <w:left w:type="dxa" w:w="80"/>
              <w:bottom w:type="dxa" w:w="60"/>
              <w:right w:type="dxa" w:w="80"/>
            </w:tcMar>
          </w:tcPr>
          <w:p>
            <w:pPr>
              <w:spacing w:after="0" w:line="240"/>
              <w:jc w:val="left"/>
            </w:pPr>
            <w:r>
              <w:rPr>
                <w:b/>
                <w:bCs/>
                <w:sz w:val="20"/>
                <w:szCs w:val="20"/>
              </w:rPr>
              <w:t xml:space="preserve">Energia niedostarczona (A1)</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8 762 kWh</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7 966 kWh</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1 046 kWh</w:t>
            </w:r>
          </w:p>
        </w:tc>
      </w:tr>
      <w:tr>
        <w:trPr>
          <w:tblHeader w:val="false"/>
        </w:trPr>
        <w:tc>
          <w:tcPr>
            <w:tcW w:type="dxa" w:w="2540"/>
            <w:shd w:fill="FFF2CC" w:val="clear"/>
            <w:tcMar>
              <w:top w:type="dxa" w:w="60"/>
              <w:left w:type="dxa" w:w="80"/>
              <w:bottom w:type="dxa" w:w="60"/>
              <w:right w:type="dxa" w:w="80"/>
            </w:tcMar>
          </w:tcPr>
          <w:p>
            <w:pPr>
              <w:spacing w:after="0" w:line="240"/>
              <w:jc w:val="left"/>
            </w:pPr>
            <w:r>
              <w:rPr>
                <w:b/>
                <w:bCs/>
                <w:sz w:val="20"/>
                <w:szCs w:val="20"/>
              </w:rPr>
              <w:t xml:space="preserve">Energia niedostarczona (A2)</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2 520 kWh</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279 kWh</w:t>
            </w:r>
          </w:p>
        </w:tc>
      </w:tr>
      <w:tr>
        <w:trPr>
          <w:tblHeader w:val="false"/>
        </w:trPr>
        <w:tc>
          <w:tcPr>
            <w:tcW w:type="dxa" w:w="2540"/>
            <w:shd w:fill="FFF2CC" w:val="clear"/>
            <w:tcMar>
              <w:top w:type="dxa" w:w="60"/>
              <w:left w:type="dxa" w:w="80"/>
              <w:bottom w:type="dxa" w:w="60"/>
              <w:right w:type="dxa" w:w="80"/>
            </w:tcMar>
          </w:tcPr>
          <w:p>
            <w:pPr>
              <w:spacing w:after="0" w:line="240"/>
              <w:jc w:val="left"/>
            </w:pPr>
            <w:r>
              <w:rPr>
                <w:b/>
                <w:bCs/>
                <w:sz w:val="20"/>
                <w:szCs w:val="20"/>
              </w:rPr>
              <w:t xml:space="preserve">Odporność na black-sky</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zależna od paliwa</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brak</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wysoka</w:t>
            </w:r>
          </w:p>
        </w:tc>
      </w:tr>
    </w:tbl>
    <w:p>
      <w:pPr>
        <w:spacing w:after="200" w:before="80" w:line="240"/>
        <w:jc w:val="center"/>
      </w:pPr>
      <w:r>
        <w:rPr>
          <w:i/>
          <w:iCs/>
          <w:sz w:val="20"/>
          <w:szCs w:val="20"/>
        </w:rPr>
        <w:t xml:space="preserve">Tabela 14. Zestawienie zbiorcze wyników dla trzech konfiguracji</w:t>
      </w:r>
    </w:p>
    <w:p>
      <w:pPr>
        <w:spacing w:after="120" w:before="0" w:line="360"/>
        <w:jc w:val="both"/>
      </w:pPr>
      <w:r>
        <w:rPr>
          <w:i/>
          <w:iCs/>
          <w:sz w:val="20"/>
          <w:szCs w:val="20"/>
        </w:rPr>
        <w:t xml:space="preserve">* Wartość NPC dla konfiguracji K3 obejmuje dodatkowo koszt paliwa gazowego przeznaczonego na pokrycie zapotrzebowania cieplnego wynoszącego 1 800 MWh rocznie. Bezpośrednie porównanie z konfiguracjami K1 i K2 wymaga wprowadzenia szyny cieplnej również do tych wariantów.</w:t>
      </w:r>
    </w:p>
    <w:p>
      <w:r>
        <w:br w:type="page"/>
      </w:r>
    </w:p>
    <w:p>
      <w:pPr>
        <w:pStyle w:val="Heading1"/>
        <w:spacing w:after="240" w:before="240" w:line="360"/>
      </w:pPr>
      <w:r>
        <w:rPr>
          <w:b/>
          <w:bCs/>
          <w:sz w:val="28"/>
          <w:szCs w:val="28"/>
        </w:rPr>
        <w:t xml:space="preserve">8. Wnioski metodyczne</w:t>
      </w:r>
    </w:p>
    <w:p>
      <w:pPr>
        <w:pStyle w:val="Heading2"/>
        <w:spacing w:after="180" w:before="240" w:line="360"/>
      </w:pPr>
      <w:r>
        <w:rPr>
          <w:b/>
          <w:bCs/>
          <w:sz w:val="28"/>
          <w:szCs w:val="28"/>
        </w:rPr>
        <w:t xml:space="preserve">8.1. Kryterium najniższego NPC prowadzi do rozwiązania niedopuszczalnego</w:t>
      </w:r>
    </w:p>
    <w:p>
      <w:pPr>
        <w:spacing w:after="120" w:before="0" w:line="360"/>
        <w:ind w:firstLine="566"/>
        <w:jc w:val="both"/>
      </w:pPr>
      <w:r>
        <w:rPr>
          <w:sz w:val="24"/>
          <w:szCs w:val="24"/>
        </w:rPr>
        <w:t xml:space="preserve">We wszystkich wariantach awaryjnych konfiguracją o najniższym koszcie bieżącym netto pozostaje układ pozbawiony źródła rezerwowego — ten sam, który generuje kilka tysięcy kilowatogodzin energii niedostarczonej. Optymalizator uznaje niedostarczenie energii do szpitala za rozwiązanie tańsze niż zakup źródła rezerwowego. Koszt zapewnienia pełnego pokrycia wynosi około 220 000 $ w kategoriach NPC, co odpowiada wzrostowi LCOE o 16%.</w:t>
      </w:r>
    </w:p>
    <w:p>
      <w:pPr>
        <w:spacing w:after="120" w:before="0" w:line="360"/>
        <w:ind w:firstLine="566"/>
        <w:jc w:val="both"/>
      </w:pPr>
      <w:r>
        <w:rPr>
          <w:sz w:val="24"/>
          <w:szCs w:val="24"/>
        </w:rPr>
        <w:t xml:space="preserve">Konsekwencją dla dalszego toku pracy jest konieczność traktowania energii niedostarczonej jako ograniczenia twardego, nie zaś jako składnika funkcji celu.</w:t>
      </w:r>
    </w:p>
    <w:p>
      <w:pPr>
        <w:pStyle w:val="Heading2"/>
        <w:spacing w:after="180" w:before="240" w:line="360"/>
      </w:pPr>
      <w:r>
        <w:rPr>
          <w:b/>
          <w:bCs/>
          <w:sz w:val="28"/>
          <w:szCs w:val="28"/>
        </w:rPr>
        <w:t xml:space="preserve">8.2. Ograniczenie przestrzenne warunkiem wiarygodności wyników</w:t>
      </w:r>
    </w:p>
    <w:p>
      <w:pPr>
        <w:spacing w:after="120" w:before="0" w:line="360"/>
        <w:ind w:firstLine="566"/>
        <w:jc w:val="both"/>
      </w:pPr>
      <w:r>
        <w:rPr>
          <w:sz w:val="24"/>
          <w:szCs w:val="24"/>
        </w:rPr>
        <w:t xml:space="preserve">Bez ograniczenia mocy instalacji fotowoltaicznej optymalizator wskazuje konfigurację wymagającą powierzchni dachu pięciokrotnie większej od dostępnej. Wprowadzenie zbioru dopuszczalnych mocy na podstawie analizy rozmieszczenia modułów jest warunkiem koniecznym.</w:t>
      </w:r>
    </w:p>
    <w:p>
      <w:pPr>
        <w:pStyle w:val="Heading2"/>
        <w:spacing w:after="180" w:before="240" w:line="360"/>
      </w:pPr>
      <w:r>
        <w:rPr>
          <w:b/>
          <w:bCs/>
          <w:sz w:val="28"/>
          <w:szCs w:val="28"/>
        </w:rPr>
        <w:t xml:space="preserve">8.3. Dobór jednostki kogeneracyjnej determinuje sens konfiguracji K3</w:t>
      </w:r>
    </w:p>
    <w:p>
      <w:pPr>
        <w:spacing w:after="120" w:before="0" w:line="360"/>
        <w:ind w:firstLine="566"/>
        <w:jc w:val="both"/>
      </w:pPr>
      <w:r>
        <w:rPr>
          <w:sz w:val="24"/>
          <w:szCs w:val="24"/>
        </w:rPr>
        <w:t xml:space="preserve">Generyczny agregat wysokoprężny nie jest dysponowany przez optymalizator w żadnym z analizowanych wariantów. Zastosowanie rzeczywistej jednostki gazowej z katalogu producenta zmienia wynik jakościowo — kogeneracja pracuje przez 81% roku i pokrywa 64,6% zapotrzebowania elektrycznego obiektu.</w:t>
      </w:r>
    </w:p>
    <w:p>
      <w:pPr>
        <w:pStyle w:val="Heading2"/>
        <w:spacing w:after="180" w:before="240" w:line="360"/>
      </w:pPr>
      <w:r>
        <w:rPr>
          <w:b/>
          <w:bCs/>
          <w:sz w:val="28"/>
          <w:szCs w:val="28"/>
        </w:rPr>
        <w:t xml:space="preserve">8.4. Sezonowość zasobu słonecznego wyklucza autonomię opartą na PV</w:t>
      </w:r>
    </w:p>
    <w:p>
      <w:pPr>
        <w:spacing w:after="120" w:before="0" w:line="360"/>
        <w:ind w:firstLine="566"/>
        <w:jc w:val="both"/>
      </w:pPr>
      <w:r>
        <w:rPr>
          <w:sz w:val="24"/>
          <w:szCs w:val="24"/>
        </w:rPr>
        <w:t xml:space="preserve">Stosunek napromieniowania majowego do grudniowego wynoszący 8,6 : 1 oznacza, że w warunkach polskich instalacja fotowoltaiczna nie może stanowić podstawy zasilania awaryjnego w okresie zimowym. Uzasadnia to obecność źródła sterowalnego w architekturze mikrosieci.</w:t>
      </w:r>
    </w:p>
    <w:p>
      <w:pPr>
        <w:pStyle w:val="Heading1"/>
        <w:spacing w:after="240" w:before="240" w:line="360"/>
      </w:pPr>
      <w:r>
        <w:rPr>
          <w:b/>
          <w:bCs/>
          <w:sz w:val="28"/>
          <w:szCs w:val="28"/>
        </w:rPr>
        <w:t xml:space="preserve">9. Zadania przed obliczeniami właściwymi</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7258"/>
        <w:gridCol w:w="1815"/>
      </w:tblGrid>
      <w:tr>
        <w:trPr>
          <w:tblHeader/>
        </w:trPr>
        <w:tc>
          <w:tcPr>
            <w:tcW w:type="dxa" w:w="7258"/>
            <w:shd w:fill="D9E2F3" w:val="clear"/>
            <w:tcMar>
              <w:top w:type="dxa" w:w="60"/>
              <w:left w:type="dxa" w:w="80"/>
              <w:bottom w:type="dxa" w:w="60"/>
              <w:right w:type="dxa" w:w="80"/>
            </w:tcMar>
          </w:tcPr>
          <w:p>
            <w:pPr>
              <w:spacing w:after="0" w:line="240"/>
              <w:jc w:val="left"/>
            </w:pPr>
            <w:r>
              <w:rPr>
                <w:b/>
                <w:bCs/>
                <w:sz w:val="20"/>
                <w:szCs w:val="20"/>
              </w:rPr>
              <w:t xml:space="preserve">Zadanie</w:t>
            </w:r>
          </w:p>
        </w:tc>
        <w:tc>
          <w:tcPr>
            <w:tcW w:type="dxa" w:w="1815"/>
            <w:shd w:fill="D9E2F3" w:val="clear"/>
            <w:tcMar>
              <w:top w:type="dxa" w:w="60"/>
              <w:left w:type="dxa" w:w="80"/>
              <w:bottom w:type="dxa" w:w="60"/>
              <w:right w:type="dxa" w:w="80"/>
            </w:tcMar>
          </w:tcPr>
          <w:p>
            <w:pPr>
              <w:spacing w:after="0" w:line="240"/>
              <w:jc w:val="center"/>
            </w:pPr>
            <w:r>
              <w:rPr>
                <w:b/>
                <w:bCs/>
                <w:sz w:val="20"/>
                <w:szCs w:val="20"/>
              </w:rPr>
              <w:t xml:space="preserve">Priorytet</w:t>
            </w:r>
          </w:p>
        </w:tc>
      </w:tr>
      <w:tr>
        <w:trPr>
          <w:tblHeader w:val="false"/>
        </w:trPr>
        <w:tc>
          <w:tcPr>
            <w:tcW w:type="dxa" w:w="7258"/>
            <w:tcMar>
              <w:top w:type="dxa" w:w="60"/>
              <w:left w:type="dxa" w:w="80"/>
              <w:bottom w:type="dxa" w:w="60"/>
              <w:right w:type="dxa" w:w="80"/>
            </w:tcMar>
          </w:tcPr>
          <w:p>
            <w:pPr>
              <w:spacing w:after="0" w:line="240"/>
              <w:jc w:val="left"/>
            </w:pPr>
            <w:r>
              <w:rPr>
                <w:sz w:val="20"/>
                <w:szCs w:val="20"/>
              </w:rPr>
              <w:t xml:space="preserve">Wybór rzeczywistego obiektu referencyjnego i pozyskanie danych pomiarowych</w:t>
            </w:r>
          </w:p>
        </w:tc>
        <w:tc>
          <w:tcPr>
            <w:tcW w:type="dxa" w:w="1815"/>
            <w:tcMar>
              <w:top w:type="dxa" w:w="60"/>
              <w:left w:type="dxa" w:w="80"/>
              <w:bottom w:type="dxa" w:w="60"/>
              <w:right w:type="dxa" w:w="80"/>
            </w:tcMar>
          </w:tcPr>
          <w:p>
            <w:pPr>
              <w:spacing w:after="0" w:line="240"/>
              <w:jc w:val="center"/>
            </w:pPr>
            <w:r>
              <w:rPr>
                <w:sz w:val="20"/>
                <w:szCs w:val="20"/>
              </w:rPr>
              <w:t xml:space="preserve">wysoki</w:t>
            </w:r>
          </w:p>
        </w:tc>
      </w:tr>
      <w:tr>
        <w:trPr>
          <w:tblHeader w:val="false"/>
        </w:trPr>
        <w:tc>
          <w:tcPr>
            <w:tcW w:type="dxa" w:w="7258"/>
            <w:tcMar>
              <w:top w:type="dxa" w:w="60"/>
              <w:left w:type="dxa" w:w="80"/>
              <w:bottom w:type="dxa" w:w="60"/>
              <w:right w:type="dxa" w:w="80"/>
            </w:tcMar>
          </w:tcPr>
          <w:p>
            <w:pPr>
              <w:spacing w:after="0" w:line="240"/>
              <w:jc w:val="left"/>
            </w:pPr>
            <w:r>
              <w:rPr>
                <w:sz w:val="20"/>
                <w:szCs w:val="20"/>
              </w:rPr>
              <w:t xml:space="preserve">Analiza CAD rozmieszczenia modułów PV — wyznaczenie granicznej mocy instalacji</w:t>
            </w:r>
          </w:p>
        </w:tc>
        <w:tc>
          <w:tcPr>
            <w:tcW w:type="dxa" w:w="1815"/>
            <w:tcMar>
              <w:top w:type="dxa" w:w="60"/>
              <w:left w:type="dxa" w:w="80"/>
              <w:bottom w:type="dxa" w:w="60"/>
              <w:right w:type="dxa" w:w="80"/>
            </w:tcMar>
          </w:tcPr>
          <w:p>
            <w:pPr>
              <w:spacing w:after="0" w:line="240"/>
              <w:jc w:val="center"/>
            </w:pPr>
            <w:r>
              <w:rPr>
                <w:sz w:val="20"/>
                <w:szCs w:val="20"/>
              </w:rPr>
              <w:t xml:space="preserve">wysoki</w:t>
            </w:r>
          </w:p>
        </w:tc>
      </w:tr>
      <w:tr>
        <w:trPr>
          <w:tblHeader w:val="false"/>
        </w:trPr>
        <w:tc>
          <w:tcPr>
            <w:tcW w:type="dxa" w:w="7258"/>
            <w:tcMar>
              <w:top w:type="dxa" w:w="60"/>
              <w:left w:type="dxa" w:w="80"/>
              <w:bottom w:type="dxa" w:w="60"/>
              <w:right w:type="dxa" w:w="80"/>
            </w:tcMar>
          </w:tcPr>
          <w:p>
            <w:pPr>
              <w:spacing w:after="0" w:line="240"/>
              <w:jc w:val="left"/>
            </w:pPr>
            <w:r>
              <w:rPr>
                <w:sz w:val="20"/>
                <w:szCs w:val="20"/>
              </w:rPr>
              <w:t xml:space="preserve">Wprowadzenie szyny cieplnej do konfiguracji K1 i K2</w:t>
            </w:r>
          </w:p>
        </w:tc>
        <w:tc>
          <w:tcPr>
            <w:tcW w:type="dxa" w:w="1815"/>
            <w:tcMar>
              <w:top w:type="dxa" w:w="60"/>
              <w:left w:type="dxa" w:w="80"/>
              <w:bottom w:type="dxa" w:w="60"/>
              <w:right w:type="dxa" w:w="80"/>
            </w:tcMar>
          </w:tcPr>
          <w:p>
            <w:pPr>
              <w:spacing w:after="0" w:line="240"/>
              <w:jc w:val="center"/>
            </w:pPr>
            <w:r>
              <w:rPr>
                <w:sz w:val="20"/>
                <w:szCs w:val="20"/>
              </w:rPr>
              <w:t xml:space="preserve">wysoki</w:t>
            </w:r>
          </w:p>
        </w:tc>
      </w:tr>
      <w:tr>
        <w:trPr>
          <w:tblHeader w:val="false"/>
        </w:trPr>
        <w:tc>
          <w:tcPr>
            <w:tcW w:type="dxa" w:w="7258"/>
            <w:tcMar>
              <w:top w:type="dxa" w:w="60"/>
              <w:left w:type="dxa" w:w="80"/>
              <w:bottom w:type="dxa" w:w="60"/>
              <w:right w:type="dxa" w:w="80"/>
            </w:tcMar>
          </w:tcPr>
          <w:p>
            <w:pPr>
              <w:spacing w:after="0" w:line="240"/>
              <w:jc w:val="left"/>
            </w:pPr>
            <w:r>
              <w:rPr>
                <w:sz w:val="20"/>
                <w:szCs w:val="20"/>
              </w:rPr>
              <w:t xml:space="preserve">Pozyskanie licencji akademickiej HOMER Pro</w:t>
            </w:r>
          </w:p>
        </w:tc>
        <w:tc>
          <w:tcPr>
            <w:tcW w:type="dxa" w:w="1815"/>
            <w:tcMar>
              <w:top w:type="dxa" w:w="60"/>
              <w:left w:type="dxa" w:w="80"/>
              <w:bottom w:type="dxa" w:w="60"/>
              <w:right w:type="dxa" w:w="80"/>
            </w:tcMar>
          </w:tcPr>
          <w:p>
            <w:pPr>
              <w:spacing w:after="0" w:line="240"/>
              <w:jc w:val="center"/>
            </w:pPr>
            <w:r>
              <w:rPr>
                <w:sz w:val="20"/>
                <w:szCs w:val="20"/>
              </w:rPr>
              <w:t xml:space="preserve">wysoki</w:t>
            </w:r>
          </w:p>
        </w:tc>
      </w:tr>
      <w:tr>
        <w:trPr>
          <w:tblHeader w:val="false"/>
        </w:trPr>
        <w:tc>
          <w:tcPr>
            <w:tcW w:type="dxa" w:w="7258"/>
            <w:tcMar>
              <w:top w:type="dxa" w:w="60"/>
              <w:left w:type="dxa" w:w="80"/>
              <w:bottom w:type="dxa" w:w="60"/>
              <w:right w:type="dxa" w:w="80"/>
            </w:tcMar>
          </w:tcPr>
          <w:p>
            <w:pPr>
              <w:spacing w:after="0" w:line="240"/>
              <w:jc w:val="left"/>
            </w:pPr>
            <w:r>
              <w:rPr>
                <w:sz w:val="20"/>
                <w:szCs w:val="20"/>
              </w:rPr>
              <w:t xml:space="preserve">Przełączenie waluty modelu na PLN</w:t>
            </w:r>
          </w:p>
        </w:tc>
        <w:tc>
          <w:tcPr>
            <w:tcW w:type="dxa" w:w="1815"/>
            <w:tcMar>
              <w:top w:type="dxa" w:w="60"/>
              <w:left w:type="dxa" w:w="80"/>
              <w:bottom w:type="dxa" w:w="60"/>
              <w:right w:type="dxa" w:w="80"/>
            </w:tcMar>
          </w:tcPr>
          <w:p>
            <w:pPr>
              <w:spacing w:after="0" w:line="240"/>
              <w:jc w:val="center"/>
            </w:pPr>
            <w:r>
              <w:rPr>
                <w:sz w:val="20"/>
                <w:szCs w:val="20"/>
              </w:rPr>
              <w:t xml:space="preserve">średni</w:t>
            </w:r>
          </w:p>
        </w:tc>
      </w:tr>
      <w:tr>
        <w:trPr>
          <w:tblHeader w:val="false"/>
        </w:trPr>
        <w:tc>
          <w:tcPr>
            <w:tcW w:type="dxa" w:w="7258"/>
            <w:tcMar>
              <w:top w:type="dxa" w:w="60"/>
              <w:left w:type="dxa" w:w="80"/>
              <w:bottom w:type="dxa" w:w="60"/>
              <w:right w:type="dxa" w:w="80"/>
            </w:tcMar>
          </w:tcPr>
          <w:p>
            <w:pPr>
              <w:spacing w:after="0" w:line="240"/>
              <w:jc w:val="left"/>
            </w:pPr>
            <w:r>
              <w:rPr>
                <w:sz w:val="20"/>
                <w:szCs w:val="20"/>
              </w:rPr>
              <w:t xml:space="preserve">Powtórzenie testu autonomii dla okresu letniego</w:t>
            </w:r>
          </w:p>
        </w:tc>
        <w:tc>
          <w:tcPr>
            <w:tcW w:type="dxa" w:w="1815"/>
            <w:tcMar>
              <w:top w:type="dxa" w:w="60"/>
              <w:left w:type="dxa" w:w="80"/>
              <w:bottom w:type="dxa" w:w="60"/>
              <w:right w:type="dxa" w:w="80"/>
            </w:tcMar>
          </w:tcPr>
          <w:p>
            <w:pPr>
              <w:spacing w:after="0" w:line="240"/>
              <w:jc w:val="center"/>
            </w:pPr>
            <w:r>
              <w:rPr>
                <w:sz w:val="20"/>
                <w:szCs w:val="20"/>
              </w:rPr>
              <w:t xml:space="preserve">średni</w:t>
            </w:r>
          </w:p>
        </w:tc>
      </w:tr>
      <w:tr>
        <w:trPr>
          <w:tblHeader w:val="false"/>
        </w:trPr>
        <w:tc>
          <w:tcPr>
            <w:tcW w:type="dxa" w:w="7258"/>
            <w:tcMar>
              <w:top w:type="dxa" w:w="60"/>
              <w:left w:type="dxa" w:w="80"/>
              <w:bottom w:type="dxa" w:w="60"/>
              <w:right w:type="dxa" w:w="80"/>
            </w:tcMar>
          </w:tcPr>
          <w:p>
            <w:pPr>
              <w:spacing w:after="0" w:line="240"/>
              <w:jc w:val="left"/>
            </w:pPr>
            <w:r>
              <w:rPr>
                <w:sz w:val="20"/>
                <w:szCs w:val="20"/>
              </w:rPr>
              <w:t xml:space="preserve">Wyznaczenie pojemności BESS zapewniającej 60 min autonomii dla klasy 0,5 s</w:t>
            </w:r>
          </w:p>
        </w:tc>
        <w:tc>
          <w:tcPr>
            <w:tcW w:type="dxa" w:w="1815"/>
            <w:tcMar>
              <w:top w:type="dxa" w:w="60"/>
              <w:left w:type="dxa" w:w="80"/>
              <w:bottom w:type="dxa" w:w="60"/>
              <w:right w:type="dxa" w:w="80"/>
            </w:tcMar>
          </w:tcPr>
          <w:p>
            <w:pPr>
              <w:spacing w:after="0" w:line="240"/>
              <w:jc w:val="center"/>
            </w:pPr>
            <w:r>
              <w:rPr>
                <w:sz w:val="20"/>
                <w:szCs w:val="20"/>
              </w:rPr>
              <w:t xml:space="preserve">średni</w:t>
            </w:r>
          </w:p>
        </w:tc>
      </w:tr>
      <w:tr>
        <w:trPr>
          <w:tblHeader w:val="false"/>
        </w:trPr>
        <w:tc>
          <w:tcPr>
            <w:tcW w:type="dxa" w:w="7258"/>
            <w:tcMar>
              <w:top w:type="dxa" w:w="60"/>
              <w:left w:type="dxa" w:w="80"/>
              <w:bottom w:type="dxa" w:w="60"/>
              <w:right w:type="dxa" w:w="80"/>
            </w:tcMar>
          </w:tcPr>
          <w:p>
            <w:pPr>
              <w:spacing w:after="0" w:line="240"/>
              <w:jc w:val="left"/>
            </w:pPr>
            <w:r>
              <w:rPr>
                <w:sz w:val="20"/>
                <w:szCs w:val="20"/>
              </w:rPr>
              <w:t xml:space="preserve">Ograniczenie testu autonomii do obciążeń krytycznych (30% mocy szczytowej)</w:t>
            </w:r>
          </w:p>
        </w:tc>
        <w:tc>
          <w:tcPr>
            <w:tcW w:type="dxa" w:w="1815"/>
            <w:tcMar>
              <w:top w:type="dxa" w:w="60"/>
              <w:left w:type="dxa" w:w="80"/>
              <w:bottom w:type="dxa" w:w="60"/>
              <w:right w:type="dxa" w:w="80"/>
            </w:tcMar>
          </w:tcPr>
          <w:p>
            <w:pPr>
              <w:spacing w:after="0" w:line="240"/>
              <w:jc w:val="center"/>
            </w:pPr>
            <w:r>
              <w:rPr>
                <w:sz w:val="20"/>
                <w:szCs w:val="20"/>
              </w:rPr>
              <w:t xml:space="preserve">średni</w:t>
            </w:r>
          </w:p>
        </w:tc>
      </w:tr>
    </w:tbl>
    <w:p>
      <w:pPr>
        <w:spacing w:after="200" w:before="80" w:line="240"/>
        <w:jc w:val="center"/>
      </w:pPr>
      <w:r>
        <w:rPr>
          <w:i/>
          <w:iCs/>
          <w:sz w:val="20"/>
          <w:szCs w:val="20"/>
        </w:rPr>
        <w:t xml:space="preserve">Tabela 15. Zadania do wykonania przed przystąpieniem do obliczeń właściwych</w:t>
      </w:r>
    </w:p>
    <w:p>
      <w:pPr>
        <w:spacing w:after="120" w:before="0" w:line="360"/>
        <w:jc w:val="both"/>
      </w:pPr>
      <w:r>
        <w:rPr>
          <w:i/>
          <w:iCs/>
          <w:sz w:val="20"/>
          <w:szCs w:val="20"/>
        </w:rPr>
        <w:t xml:space="preserve">Licencja HOMER Pro w wersji Evaluation Edition wygasa 5 września 2026 roku.</w:t>
      </w:r>
    </w:p>
    <w:sectPr>
      <w:footerReference w:type="default" r:id="rId7"/>
      <w:pgSz w:w="11906" w:h="16838" w:orient="portrait"/>
      <w:pgMar w:top="1417" w:right="1133"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721d7dcdcbd33b577f11efbfb93e31d7ecba0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2026-08-30T20:00:12.501Z</dcterms:created>
  <dcterms:modified xsi:type="dcterms:W3CDTF">2026-08-30T20:00:12.513Z</dcterms:modified>
</cp:coreProperties>
</file>

<file path=docProps/custom.xml><?xml version="1.0" encoding="utf-8"?>
<Properties xmlns="http://schemas.openxmlformats.org/officeDocument/2006/custom-properties" xmlns:vt="http://schemas.openxmlformats.org/officeDocument/2006/docPropsVTypes"/>
</file>