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59.png" ContentType="image/png"/>
  <Override PartName="/word/media/rId19.png" ContentType="image/png"/>
  <Override PartName="/word/media/rId63.png" ContentType="image/png"/>
  <Override PartName="/word/media/rId67.png" ContentType="image/png"/>
  <Override PartName="/word/media/rId15.png" ContentType="image/png"/>
  <Override PartName="/word/media/rId23.png" ContentType="image/png"/>
  <Override PartName="/word/media/rId31.png" ContentType="image/png"/>
  <Override PartName="/word/media/rId2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1-C (НФИ-2)</w:t>
      </w:r>
    </w:p>
    <w:p>
      <w:pPr>
        <w:pStyle w:val="Subtitle"/>
      </w:pPr>
      <w:r>
        <w:t xml:space="preserve">Программный комплекс обучения методам обнаружения, анализа и устранения последствий компьютерных атак «Ampire»</w:t>
      </w:r>
    </w:p>
    <w:p>
      <w:pPr>
        <w:pStyle w:val="Author"/>
      </w:pPr>
      <w:r>
        <w:t xml:space="preserve">Козлов В.П., Гаинэ А., Шуваев С., Джахангиров И.З, Хватов М.Г. |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Отработка на практике методов обнаружения, анализа и нейтрализации многоэтапной компьютерной атаки, направленной на кражу научно-технической информации предприятия, с использованием учебного программного комплекса «Ampire».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Обнаружить подбор пароля к файловому серверу и последующую загрузку вредоносного файла.</w:t>
      </w:r>
    </w:p>
    <w:p>
      <w:pPr>
        <w:numPr>
          <w:ilvl w:val="0"/>
          <w:numId w:val="1001"/>
        </w:numPr>
      </w:pPr>
      <w:r>
        <w:t xml:space="preserve">Выявить бэкдор на рабочей станции через анализ планировщика задач и запущенных процессов.</w:t>
      </w:r>
    </w:p>
    <w:p>
      <w:pPr>
        <w:numPr>
          <w:ilvl w:val="0"/>
          <w:numId w:val="1001"/>
        </w:numPr>
      </w:pPr>
      <w:r>
        <w:t xml:space="preserve">Зафиксировать кражу учётных данных (например, с помощью утилиты LaZagne) и их использование для доступа к Redmine.</w:t>
      </w:r>
    </w:p>
    <w:p>
      <w:pPr>
        <w:numPr>
          <w:ilvl w:val="0"/>
          <w:numId w:val="1001"/>
        </w:numPr>
      </w:pPr>
      <w:r>
        <w:t xml:space="preserve">Проанализировать XSS-атаку в Redmine, которая привела к включению REST API и созданию привилегированного пользователя.</w:t>
      </w:r>
    </w:p>
    <w:p>
      <w:pPr>
        <w:numPr>
          <w:ilvl w:val="0"/>
          <w:numId w:val="1001"/>
        </w:numPr>
      </w:pPr>
      <w:r>
        <w:t xml:space="preserve">Обнаружить слепую SQL-инъекцию, используемую для извлечения конфиденциальных данных из базы данных.</w:t>
      </w:r>
    </w:p>
    <w:p>
      <w:pPr>
        <w:numPr>
          <w:ilvl w:val="0"/>
          <w:numId w:val="1001"/>
        </w:numPr>
      </w:pPr>
      <w:r>
        <w:t xml:space="preserve">Нейтрализовать последствия атаки: удалить бэкдор, несанкционированного пользователя и внедрённый вредоносный код.</w:t>
      </w:r>
    </w:p>
    <w:p>
      <w:pPr>
        <w:numPr>
          <w:ilvl w:val="0"/>
          <w:numId w:val="1001"/>
        </w:numPr>
      </w:pPr>
      <w:r>
        <w:t xml:space="preserve">Устранить уязвимости: пропатчить Redmine от XSS (CVE-2019-17427) и SQL-инъекции (CVE-2019-18890), усилить политику паролей.</w:t>
      </w:r>
    </w:p>
    <w:bookmarkEnd w:id="1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Активировали WireGuard и зашли на сайт платформы (рис. 1)</w:t>
      </w:r>
    </w:p>
    <w:bookmarkStart w:id="14" w:name="fig:001"/>
    <w:p>
      <w:pPr>
        <w:pStyle w:val="CaptionedFigure"/>
      </w:pPr>
      <w:r>
        <w:drawing>
          <wp:inline>
            <wp:extent cx="3733800" cy="2406550"/>
            <wp:effectExtent b="0" l="0" r="0" t="0"/>
            <wp:docPr descr="Рис. 1: Установка Chocolatey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Chocolatey</w:t>
      </w:r>
    </w:p>
    <w:bookmarkEnd w:id="14"/>
    <w:p>
      <w:pPr>
        <w:pStyle w:val="BodyText"/>
      </w:pPr>
      <w:r>
        <w:t xml:space="preserve">На сайте ViPNet IDS NS просмотрели атакованные ip-адреса и суть атак (рис. 2)</w:t>
      </w:r>
    </w:p>
    <w:bookmarkStart w:id="18" w:name="fig:002"/>
    <w:p>
      <w:pPr>
        <w:pStyle w:val="CaptionedFigure"/>
      </w:pPr>
      <w:r>
        <w:drawing>
          <wp:inline>
            <wp:extent cx="3733800" cy="1497775"/>
            <wp:effectExtent b="0" l="0" r="0" t="0"/>
            <wp:docPr descr="Рис. 2: Атакованные ip-адреса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Атакованные ip-адреса</w:t>
      </w:r>
    </w:p>
    <w:bookmarkEnd w:id="18"/>
    <w:p>
      <w:pPr>
        <w:pStyle w:val="BodyText"/>
      </w:pPr>
      <w:r>
        <w:t xml:space="preserve">Добавили карточку инцидента Weak Password (рис. 3)</w:t>
      </w:r>
    </w:p>
    <w:bookmarkStart w:id="22" w:name="fig:100"/>
    <w:p>
      <w:pPr>
        <w:pStyle w:val="CaptionedFigure"/>
      </w:pPr>
      <w:r>
        <w:drawing>
          <wp:inline>
            <wp:extent cx="3733800" cy="2395611"/>
            <wp:effectExtent b="0" l="0" r="0" t="0"/>
            <wp:docPr descr="Рис. 3: Карточка инцидента Weak Password" title="" id="20" name="Picture"/>
            <a:graphic>
              <a:graphicData uri="http://schemas.openxmlformats.org/drawingml/2006/picture">
                <pic:pic>
                  <pic:nvPicPr>
                    <pic:cNvPr descr="image/100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Карточка инцидента Weak Password</w:t>
      </w:r>
    </w:p>
    <w:bookmarkEnd w:id="22"/>
    <w:p>
      <w:pPr>
        <w:pStyle w:val="BodyText"/>
      </w:pPr>
      <w:r>
        <w:t xml:space="preserve">Добавили карточку инцидента XSS (рис. 4)</w:t>
      </w:r>
    </w:p>
    <w:bookmarkStart w:id="26" w:name="fig:200"/>
    <w:p>
      <w:pPr>
        <w:pStyle w:val="CaptionedFigure"/>
      </w:pPr>
      <w:r>
        <w:drawing>
          <wp:inline>
            <wp:extent cx="3733800" cy="2304454"/>
            <wp:effectExtent b="0" l="0" r="0" t="0"/>
            <wp:docPr descr="Рис. 4: Карточка инцидента XSS" title="" id="24" name="Picture"/>
            <a:graphic>
              <a:graphicData uri="http://schemas.openxmlformats.org/drawingml/2006/picture">
                <pic:pic>
                  <pic:nvPicPr>
                    <pic:cNvPr descr="image/2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Карточка инцидента XSS</w:t>
      </w:r>
    </w:p>
    <w:bookmarkEnd w:id="26"/>
    <w:p>
      <w:pPr>
        <w:pStyle w:val="BodyText"/>
      </w:pPr>
      <w:r>
        <w:t xml:space="preserve">Добавили карточку инцидента SQL-injection (рис. 5)</w:t>
      </w:r>
    </w:p>
    <w:bookmarkStart w:id="30" w:name="fig:300"/>
    <w:p>
      <w:pPr>
        <w:pStyle w:val="CaptionedFigure"/>
      </w:pPr>
      <w:r>
        <w:drawing>
          <wp:inline>
            <wp:extent cx="3733800" cy="2122140"/>
            <wp:effectExtent b="0" l="0" r="0" t="0"/>
            <wp:docPr descr="Рис. 5: Карточка инцидента SQL-injection" title="" id="28" name="Picture"/>
            <a:graphic>
              <a:graphicData uri="http://schemas.openxmlformats.org/drawingml/2006/picture">
                <pic:pic>
                  <pic:nvPicPr>
                    <pic:cNvPr descr="image/3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Карточка инцидента SQL-injection</w:t>
      </w:r>
    </w:p>
    <w:bookmarkEnd w:id="30"/>
    <w:p>
      <w:pPr>
        <w:pStyle w:val="BodyText"/>
      </w:pPr>
      <w:r>
        <w:t xml:space="preserve">Атака XSS. Открыли на редактирование файл redcloth3.rb атакованного ip-адреса (рис. 6)</w:t>
      </w:r>
    </w:p>
    <w:bookmarkStart w:id="34" w:name="fig:003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6: Файл redcloth3.rb атакованного ip-адрес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redcloth3.rb атакованного ip-адреса</w:t>
      </w:r>
    </w:p>
    <w:bookmarkEnd w:id="34"/>
    <w:p>
      <w:pPr>
        <w:pStyle w:val="BodyText"/>
      </w:pPr>
      <w:r>
        <w:t xml:space="preserve">Атака XSS. Удалили тег pre из разрешенных тегов, которые не будут экранированы (рис. 7)</w:t>
      </w:r>
    </w:p>
    <w:bookmarkStart w:id="38" w:name="fig:004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7: Удаление те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тега</w:t>
      </w:r>
    </w:p>
    <w:bookmarkEnd w:id="38"/>
    <w:p>
      <w:pPr>
        <w:pStyle w:val="BodyText"/>
      </w:pPr>
      <w:r>
        <w:t xml:space="preserve">Атака XSS. Перезапустили службу веб-сервера: sudo systemctl restart nginx.service (рис. 8)</w:t>
      </w:r>
    </w:p>
    <w:bookmarkStart w:id="42" w:name="fig:005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8: Перезапуск службы веб-сервер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Перезапуск службы веб-сервера</w:t>
      </w:r>
    </w:p>
    <w:bookmarkEnd w:id="42"/>
    <w:p>
      <w:pPr>
        <w:pStyle w:val="BodyText"/>
      </w:pPr>
      <w:r>
        <w:t xml:space="preserve">Последствия XSS. Удалили пользователя hacker (рис. 9)</w:t>
      </w:r>
    </w:p>
    <w:bookmarkStart w:id="46" w:name="fig:006"/>
    <w:p>
      <w:pPr>
        <w:pStyle w:val="CaptionedFigure"/>
      </w:pPr>
      <w:r>
        <w:drawing>
          <wp:inline>
            <wp:extent cx="3733800" cy="1584453"/>
            <wp:effectExtent b="0" l="0" r="0" t="0"/>
            <wp:docPr descr="Рис. 9: Удалиление пользователя hacker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Удалиление пользователя hacker</w:t>
      </w:r>
    </w:p>
    <w:bookmarkEnd w:id="46"/>
    <w:p>
      <w:pPr>
        <w:pStyle w:val="BodyText"/>
      </w:pPr>
      <w:r>
        <w:t xml:space="preserve">Атака SQL-инъекция. Открыли файл query.rb на редактирование на 10.10.2.15 (рис. 10)</w:t>
      </w:r>
    </w:p>
    <w:bookmarkStart w:id="50" w:name="fig:007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0: Файл query.rb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query.rb</w:t>
      </w:r>
    </w:p>
    <w:bookmarkEnd w:id="50"/>
    <w:p>
      <w:pPr>
        <w:pStyle w:val="BodyText"/>
      </w:pPr>
      <w:r>
        <w:t xml:space="preserve">Атака SQL-инъекция. Отредактировали query.rb, заменив each на map (рис. 11)</w:t>
      </w:r>
    </w:p>
    <w:bookmarkStart w:id="54" w:name="fig:008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1: Редактирование query.rb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query.rb</w:t>
      </w:r>
    </w:p>
    <w:bookmarkEnd w:id="54"/>
    <w:p>
      <w:pPr>
        <w:pStyle w:val="BodyText"/>
      </w:pPr>
      <w:r>
        <w:t xml:space="preserve">Атака SQL-инъекция. Перезапустили nginx (рис. 12)</w:t>
      </w:r>
    </w:p>
    <w:bookmarkStart w:id="58" w:name="fig:009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2: Перезапуск nginx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Перезапуск nginx</w:t>
      </w:r>
    </w:p>
    <w:bookmarkEnd w:id="58"/>
    <w:p>
      <w:pPr>
        <w:pStyle w:val="BodyText"/>
      </w:pPr>
      <w:r>
        <w:t xml:space="preserve">Атака Weak Password. Зашли на MS Active Directory (рис. 13)</w:t>
      </w:r>
    </w:p>
    <w:bookmarkStart w:id="62" w:name="fig:010"/>
    <w:p>
      <w:pPr>
        <w:pStyle w:val="CaptionedFigure"/>
      </w:pPr>
      <w:r>
        <w:drawing>
          <wp:inline>
            <wp:extent cx="3733800" cy="2413843"/>
            <wp:effectExtent b="0" l="0" r="0" t="0"/>
            <wp:docPr descr="Рис. 13: MS Active Directory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MS Active Directory</w:t>
      </w:r>
    </w:p>
    <w:bookmarkEnd w:id="62"/>
    <w:p>
      <w:pPr>
        <w:pStyle w:val="BodyText"/>
      </w:pPr>
      <w:r>
        <w:t xml:space="preserve">Атака Weak Password. Сбросили пароль на dev1 (рис. 14)</w:t>
      </w:r>
    </w:p>
    <w:bookmarkStart w:id="66" w:name="fig:011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4: Сброс пароля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Сброс пароля</w:t>
      </w:r>
    </w:p>
    <w:bookmarkEnd w:id="66"/>
    <w:p>
      <w:pPr>
        <w:pStyle w:val="BodyText"/>
      </w:pPr>
      <w:r>
        <w:t xml:space="preserve">Последствие Weak Password. Удалили Evil Task из планировщика задач (рис. 15)</w:t>
      </w:r>
    </w:p>
    <w:bookmarkStart w:id="70" w:name="fig:012"/>
    <w:p>
      <w:pPr>
        <w:pStyle w:val="CaptionedFigure"/>
      </w:pPr>
      <w:r>
        <w:drawing>
          <wp:inline>
            <wp:extent cx="3733800" cy="1738408"/>
            <wp:effectExtent b="0" l="0" r="0" t="0"/>
            <wp:docPr descr="Рис. 15: Удаление Evil Task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Evil Task</w:t>
      </w:r>
    </w:p>
    <w:bookmarkEnd w:id="70"/>
    <w:p>
      <w:pPr>
        <w:pStyle w:val="BodyText"/>
      </w:pPr>
      <w:r>
        <w:t xml:space="preserve">Все атаки и их последствия успешно устранены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Отработали на практике методы обнаружения, анализа и нейтрализации многоэтапной компьютерной атаки, направленной на кражу научно-технической информации предприятия, с использованием учебного программного комплекса «Ampire».</w:t>
      </w:r>
    </w:p>
    <w:bookmarkEnd w:id="72"/>
    <w:bookmarkStart w:id="7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CVE-2019-0630</w:t>
      </w:r>
      <w:r>
        <w:t xml:space="preserve"> </w:t>
      </w:r>
      <w:r>
        <w:t xml:space="preserve">— Common Vulnerabilities and Exposures.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https://cve.mitre.org/cgi-bin/cvename.cgi?name=CVE-2019-0630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CVE-2019-17427</w:t>
      </w:r>
      <w:r>
        <w:t xml:space="preserve"> </w:t>
      </w:r>
      <w:r>
        <w:t xml:space="preserve">— Уязвимость XSS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https://cve.mitre.org/cgi-bin/cvename.cgi?name=CVE-2019-17427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CVE-2019-18890</w:t>
      </w:r>
      <w:r>
        <w:t xml:space="preserve"> </w:t>
      </w:r>
      <w:r>
        <w:t xml:space="preserve">— Уязвимость Blind SQL-инъекции в Redmine.</w:t>
      </w:r>
      <w:r>
        <w:br/>
      </w:r>
      <w:r>
        <w:t xml:space="preserve">URL:</w:t>
      </w:r>
      <w:r>
        <w:t xml:space="preserve"> </w:t>
      </w:r>
      <w:r>
        <w:rPr>
          <w:rStyle w:val="VerbatimChar"/>
        </w:rPr>
        <w:t xml:space="preserve">https://cve.mitre.org/cgi-bin/cvename.cgi?name=CVE-2019-18890</w:t>
      </w:r>
    </w:p>
    <w:bookmarkEnd w:id="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59" Target="media/rId59.png" /><Relationship Type="http://schemas.openxmlformats.org/officeDocument/2006/relationships/image" Id="rId19" Target="media/rId1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15" Target="media/rId15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1-C (НФИ-2)</dc:title>
  <dc:creator>Козлов В.П., Гаинэ А., Шуваев С., Джахангиров И.З, Хватов М.Г. | НФИбд-02-22</dc:creator>
  <dc:language>ru-RU</dc:language>
  <cp:keywords/>
  <dcterms:created xsi:type="dcterms:W3CDTF">2025-09-30T17:27:30Z</dcterms:created>
  <dcterms:modified xsi:type="dcterms:W3CDTF">2025-09-30T17:27:30Z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Arial</vt:lpwstr>
  </property>
  <property fmtid="{D5CDD505-2E9C-101B-9397-08002B2CF9AE}" pid="62" name="mainfontoptions">
    <vt:lpwstr>Ligatures=TeX</vt:lpwstr>
  </property>
  <property fmtid="{D5CDD505-2E9C-101B-9397-08002B2CF9AE}" pid="63" name="monofont">
    <vt:lpwstr>Arial</vt:lpwstr>
  </property>
  <property fmtid="{D5CDD505-2E9C-101B-9397-08002B2CF9AE}" pid="64" name="monofontoptions">
    <vt:lpwstr>Scale=MatchLowercase,Scale=0.9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Arial</vt:lpwstr>
  </property>
  <property fmtid="{D5CDD505-2E9C-101B-9397-08002B2CF9AE}" pid="75" name="romanfontoptions">
    <vt:lpwstr>Ligatures=TeX</vt:lpwstr>
  </property>
  <property fmtid="{D5CDD505-2E9C-101B-9397-08002B2CF9AE}" pid="76" name="sansfont">
    <vt:lpwstr>Arial</vt:lpwstr>
  </property>
  <property fmtid="{D5CDD505-2E9C-101B-9397-08002B2CF9AE}" pid="77" name="sansfontoptions">
    <vt:lpwstr>Ligatures=TeX,Scale=MatchLowercase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Программный комплекс обучения методам обнаружения, анализа и устранения последствий компьютерных атак «Ampire»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