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.png" ContentType="image/png"/>
  <Override PartName="/word/media/rId11.png" ContentType="image/png"/>
  <Override PartName="/word/media/rId19.png" ContentType="image/png"/>
  <Override PartName="/word/media/rId27.png" ContentType="image/png"/>
  <Override PartName="/word/media/rId2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1-C (НФИ-2)</w:t>
      </w:r>
    </w:p>
    <w:p>
      <w:pPr>
        <w:pStyle w:val="Subtitle"/>
      </w:pPr>
      <w:r>
        <w:t xml:space="preserve">Программный комплекс обучения методам обнаружения, анализа и устранения последствий компьютерных атак «Ampire»</w:t>
      </w:r>
    </w:p>
    <w:p>
      <w:pPr>
        <w:pStyle w:val="Author"/>
      </w:pPr>
      <w:r>
        <w:t xml:space="preserve">Козлов В.П., Гэинэ А., Шуваев С., Джахангиров И.З, Хватов М.Г. |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Отработать сценарий действий нарушителя</w:t>
      </w:r>
      <w:r>
        <w:t xml:space="preserve"> </w:t>
      </w:r>
      <w:r>
        <w:t xml:space="preserve">«Защита контроллера домена предприятия» на базе программного комплекса</w:t>
      </w:r>
      <w:r>
        <w:t xml:space="preserve"> </w:t>
      </w:r>
      <w:r>
        <w:t xml:space="preserve">обучения методам обнаружения, анализа и устранения последствий</w:t>
      </w:r>
      <w:r>
        <w:t xml:space="preserve"> </w:t>
      </w:r>
      <w:r>
        <w:t xml:space="preserve">компьютерных атак «Ampire».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Обнаружить SQL-injection на PHP Server.</w:t>
      </w:r>
    </w:p>
    <w:p>
      <w:pPr>
        <w:numPr>
          <w:ilvl w:val="0"/>
          <w:numId w:val="1001"/>
        </w:numPr>
      </w:pPr>
      <w:r>
        <w:t xml:space="preserve">Устранить уязвимость в контроллере NewsController.php.</w:t>
      </w:r>
    </w:p>
    <w:p>
      <w:pPr>
        <w:numPr>
          <w:ilvl w:val="0"/>
          <w:numId w:val="1001"/>
        </w:numPr>
      </w:pPr>
      <w:r>
        <w:t xml:space="preserve">Устранить последствие (Web portal meterpreter). Убиваем сессию нарушителя.</w:t>
      </w:r>
    </w:p>
    <w:p>
      <w:pPr>
        <w:numPr>
          <w:ilvl w:val="0"/>
          <w:numId w:val="1001"/>
        </w:numPr>
      </w:pPr>
      <w:r>
        <w:t xml:space="preserve">Обнаружить сессию нарушителя на узле администратора.</w:t>
      </w:r>
    </w:p>
    <w:p>
      <w:pPr>
        <w:numPr>
          <w:ilvl w:val="0"/>
          <w:numId w:val="1001"/>
        </w:numPr>
      </w:pPr>
      <w:r>
        <w:t xml:space="preserve">Запустить защиту в реальном времени Windows defender, очистить регистр.</w:t>
      </w:r>
    </w:p>
    <w:p>
      <w:pPr>
        <w:numPr>
          <w:ilvl w:val="0"/>
          <w:numId w:val="1001"/>
        </w:numPr>
      </w:pPr>
      <w:r>
        <w:t xml:space="preserve">Устранить последствие (Admin meterpreter). Убиваем сессию нарушителя.</w:t>
      </w:r>
    </w:p>
    <w:p>
      <w:pPr>
        <w:numPr>
          <w:ilvl w:val="0"/>
          <w:numId w:val="1001"/>
        </w:numPr>
      </w:pPr>
      <w:r>
        <w:t xml:space="preserve">Обнаружить попытку подбора паролей на узле MS Active Directory.</w:t>
      </w:r>
    </w:p>
    <w:p>
      <w:pPr>
        <w:numPr>
          <w:ilvl w:val="0"/>
          <w:numId w:val="1001"/>
        </w:numPr>
      </w:pPr>
      <w:r>
        <w:t xml:space="preserve">Изменить пароль к учетной записи администратора на более</w:t>
      </w:r>
      <w:r>
        <w:t xml:space="preserve"> </w:t>
      </w:r>
      <w:r>
        <w:t xml:space="preserve">сложный.</w:t>
      </w:r>
    </w:p>
    <w:p>
      <w:pPr>
        <w:numPr>
          <w:ilvl w:val="0"/>
          <w:numId w:val="1001"/>
        </w:numPr>
      </w:pPr>
      <w:r>
        <w:t xml:space="preserve">Устранить последствие (AD User). Удалить нового привилегированного пользователя.</w:t>
      </w:r>
    </w:p>
    <w:bookmarkEnd w:id="1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сайте ViPNet IDS NS просмотрели атакованные активы и суть атак (рис. 1)</w:t>
      </w:r>
    </w:p>
    <w:bookmarkStart w:id="14" w:name="fig:002"/>
    <w:p>
      <w:pPr>
        <w:pStyle w:val="CaptionedFigure"/>
      </w:pPr>
      <w:r>
        <w:drawing>
          <wp:inline>
            <wp:extent cx="3733800" cy="1789648"/>
            <wp:effectExtent b="0" l="0" r="0" t="0"/>
            <wp:docPr descr="Рис. 1: Атакованные ip-адреса" title="" id="12" name="Picture"/>
            <a:graphic>
              <a:graphicData uri="http://schemas.openxmlformats.org/drawingml/2006/picture">
                <pic:pic>
                  <pic:nvPicPr>
                    <pic:cNvPr descr="image/2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Атакованные ip-адреса</w:t>
      </w:r>
    </w:p>
    <w:bookmarkEnd w:id="14"/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“SQL Инъекция”</w:t>
      </w:r>
      <w:r>
        <w:t xml:space="preserve"> </w:t>
      </w:r>
      <w:r>
        <w:t xml:space="preserve">(рис. 2)</w:t>
      </w:r>
    </w:p>
    <w:bookmarkStart w:id="18" w:name="fig:100"/>
    <w:p>
      <w:pPr>
        <w:pStyle w:val="CaptionedFigure"/>
      </w:pPr>
      <w:r>
        <w:drawing>
          <wp:inline>
            <wp:extent cx="3733800" cy="2406377"/>
            <wp:effectExtent b="0" l="0" r="0" t="0"/>
            <wp:docPr descr="Рис. 2: Карточка инцидента “SQL Инъекция”" title="" id="16" name="Picture"/>
            <a:graphic>
              <a:graphicData uri="http://schemas.openxmlformats.org/drawingml/2006/picture">
                <pic:pic>
                  <pic:nvPicPr>
                    <pic:cNvPr descr="image/100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Карточка инцидента</w:t>
      </w:r>
      <w:r>
        <w:t xml:space="preserve"> </w:t>
      </w:r>
      <w:r>
        <w:t xml:space="preserve">“SQL Инъекция”</w:t>
      </w:r>
    </w:p>
    <w:bookmarkEnd w:id="18"/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“Отключённый антивирус”</w:t>
      </w:r>
      <w:r>
        <w:t xml:space="preserve"> </w:t>
      </w:r>
      <w:r>
        <w:t xml:space="preserve">(рис. 3)</w:t>
      </w:r>
    </w:p>
    <w:bookmarkStart w:id="22" w:name="fig:200"/>
    <w:p>
      <w:pPr>
        <w:pStyle w:val="CaptionedFigure"/>
      </w:pPr>
      <w:r>
        <w:drawing>
          <wp:inline>
            <wp:extent cx="3733800" cy="2455995"/>
            <wp:effectExtent b="0" l="0" r="0" t="0"/>
            <wp:docPr descr="Рис. 3: Карточка инцидента “Отключённый антивирус”" title="" id="20" name="Picture"/>
            <a:graphic>
              <a:graphicData uri="http://schemas.openxmlformats.org/drawingml/2006/picture">
                <pic:pic>
                  <pic:nvPicPr>
                    <pic:cNvPr descr="image/200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Карточка инцидента</w:t>
      </w:r>
      <w:r>
        <w:t xml:space="preserve"> </w:t>
      </w:r>
      <w:r>
        <w:t xml:space="preserve">“Отключённый антивирус”</w:t>
      </w:r>
    </w:p>
    <w:bookmarkEnd w:id="22"/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“Слабый пароль сервера AD”</w:t>
      </w:r>
      <w:r>
        <w:t xml:space="preserve"> </w:t>
      </w:r>
      <w:r>
        <w:t xml:space="preserve">(рис. 4)</w:t>
      </w:r>
    </w:p>
    <w:bookmarkStart w:id="26" w:name="fig:300"/>
    <w:p>
      <w:pPr>
        <w:pStyle w:val="CaptionedFigure"/>
      </w:pPr>
      <w:r>
        <w:drawing>
          <wp:inline>
            <wp:extent cx="3733800" cy="2662599"/>
            <wp:effectExtent b="0" l="0" r="0" t="0"/>
            <wp:docPr descr="Рис. 4: Добавили карточку инцидента “Слабый пароль сервера AD”" title="" id="24" name="Picture"/>
            <a:graphic>
              <a:graphicData uri="http://schemas.openxmlformats.org/drawingml/2006/picture">
                <pic:pic>
                  <pic:nvPicPr>
                    <pic:cNvPr descr="image/3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Добавили карточку инцидента</w:t>
      </w:r>
      <w:r>
        <w:t xml:space="preserve"> </w:t>
      </w:r>
      <w:r>
        <w:t xml:space="preserve">“Слабый пароль сервера AD”</w:t>
      </w:r>
    </w:p>
    <w:bookmarkEnd w:id="26"/>
    <w:p>
      <w:pPr>
        <w:pStyle w:val="BodyText"/>
      </w:pPr>
      <w:r>
        <w:t xml:space="preserve">SQL Инъекция. Открыли контроллер NewsController, добавили простейший фильтр для id (рис. 5)</w:t>
      </w:r>
    </w:p>
    <w:bookmarkStart w:id="30" w:name="fig:003"/>
    <w:p>
      <w:pPr>
        <w:pStyle w:val="CaptionedFigure"/>
      </w:pPr>
      <w:r>
        <w:drawing>
          <wp:inline>
            <wp:extent cx="3733800" cy="933450"/>
            <wp:effectExtent b="0" l="0" r="0" t="0"/>
            <wp:docPr descr="Рис. 5: NewsController.php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NewsController.php</w:t>
      </w:r>
    </w:p>
    <w:bookmarkEnd w:id="30"/>
    <w:p>
      <w:pPr>
        <w:pStyle w:val="BodyText"/>
      </w:pPr>
      <w:r>
        <w:t xml:space="preserve">SQL Инъекция. Убиваем сессию нарушителя (рис. 6)</w:t>
      </w:r>
    </w:p>
    <w:bookmarkStart w:id="34" w:name="fig:004"/>
    <w:p>
      <w:pPr>
        <w:pStyle w:val="CaptionedFigure"/>
      </w:pPr>
      <w:r>
        <w:drawing>
          <wp:inline>
            <wp:extent cx="3733800" cy="686578"/>
            <wp:effectExtent b="0" l="0" r="0" t="0"/>
            <wp:docPr descr="Рис. 6: Убиваем сессию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Убиваем сессию</w:t>
      </w:r>
    </w:p>
    <w:bookmarkEnd w:id="34"/>
    <w:p>
      <w:pPr>
        <w:pStyle w:val="BodyText"/>
      </w:pPr>
      <w:r>
        <w:t xml:space="preserve">Отключённый антивирус. Заходим на узел администратора, удаляем запись из регистра (рис. 7)</w:t>
      </w:r>
    </w:p>
    <w:bookmarkStart w:id="38" w:name="fig:005"/>
    <w:p>
      <w:pPr>
        <w:pStyle w:val="CaptionedFigure"/>
      </w:pPr>
      <w:r>
        <w:drawing>
          <wp:inline>
            <wp:extent cx="3733800" cy="321227"/>
            <wp:effectExtent b="0" l="0" r="0" t="0"/>
            <wp:docPr descr="Рис. 7: Удаление из регистр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из регистра</w:t>
      </w:r>
    </w:p>
    <w:bookmarkEnd w:id="38"/>
    <w:p>
      <w:pPr>
        <w:pStyle w:val="BodyText"/>
      </w:pPr>
      <w:r>
        <w:t xml:space="preserve">Отключённый антивирус. Включаем защиту в настоящем времени (рис. 8)</w:t>
      </w:r>
    </w:p>
    <w:bookmarkStart w:id="42" w:name="fig:006"/>
    <w:p>
      <w:pPr>
        <w:pStyle w:val="CaptionedFigure"/>
      </w:pPr>
      <w:r>
        <w:drawing>
          <wp:inline>
            <wp:extent cx="3733800" cy="1540754"/>
            <wp:effectExtent b="0" l="0" r="0" t="0"/>
            <wp:docPr descr="Рис. 8: Включаем антиврус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Включаем антиврус</w:t>
      </w:r>
    </w:p>
    <w:bookmarkEnd w:id="42"/>
    <w:p>
      <w:pPr>
        <w:pStyle w:val="BodyText"/>
      </w:pPr>
      <w:r>
        <w:t xml:space="preserve">Отключённый антивирус. Находим PID сессии с нарушителем, убиваем её (рис. 9)</w:t>
      </w:r>
    </w:p>
    <w:bookmarkStart w:id="46" w:name="fig:007"/>
    <w:p>
      <w:pPr>
        <w:pStyle w:val="CaptionedFigure"/>
      </w:pPr>
      <w:r>
        <w:drawing>
          <wp:inline>
            <wp:extent cx="3733800" cy="391657"/>
            <wp:effectExtent b="0" l="0" r="0" t="0"/>
            <wp:docPr descr="Рис. 9: Сессия нарушителя устранен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Сессия нарушителя устранена</w:t>
      </w:r>
    </w:p>
    <w:bookmarkEnd w:id="46"/>
    <w:p>
      <w:pPr>
        <w:pStyle w:val="BodyText"/>
      </w:pPr>
      <w:r>
        <w:t xml:space="preserve">Слабый пароль. Заходим на MS AD, меняем пароль администратора (рис. 10)</w:t>
      </w:r>
    </w:p>
    <w:bookmarkStart w:id="50" w:name="fig:008"/>
    <w:p>
      <w:pPr>
        <w:pStyle w:val="CaptionedFigure"/>
      </w:pPr>
      <w:r>
        <w:drawing>
          <wp:inline>
            <wp:extent cx="3733800" cy="760337"/>
            <wp:effectExtent b="0" l="0" r="0" t="0"/>
            <wp:docPr descr="Рис. 10: Меняем пароль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Меняем пароль</w:t>
      </w:r>
    </w:p>
    <w:bookmarkEnd w:id="50"/>
    <w:p>
      <w:pPr>
        <w:pStyle w:val="BodyText"/>
      </w:pPr>
      <w:r>
        <w:t xml:space="preserve">Слабый пароль. В Active directory users and computers, удаляем нового пользователя (рис. 11)</w:t>
      </w:r>
    </w:p>
    <w:bookmarkStart w:id="54" w:name="fig:009"/>
    <w:p>
      <w:pPr>
        <w:pStyle w:val="CaptionedFigure"/>
      </w:pPr>
      <w:r>
        <w:drawing>
          <wp:inline>
            <wp:extent cx="3733800" cy="3070013"/>
            <wp:effectExtent b="0" l="0" r="0" t="0"/>
            <wp:docPr descr="Рис. 11: Удалили hacker’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Удалили hacker’а</w:t>
      </w:r>
    </w:p>
    <w:bookmarkEnd w:id="54"/>
    <w:p>
      <w:pPr>
        <w:pStyle w:val="BodyText"/>
      </w:pPr>
      <w:r>
        <w:t xml:space="preserve">Все атаки и их последствия успешно устранены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Отраболи сценарий действий нарушителя</w:t>
      </w:r>
      <w:r>
        <w:t xml:space="preserve"> </w:t>
      </w:r>
      <w:r>
        <w:t xml:space="preserve">«Защита контроллера домена предприятия» на базе «Ampire».</w:t>
      </w:r>
    </w:p>
    <w:bookmarkEnd w:id="56"/>
    <w:bookmarkStart w:id="57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CVE-2019-0630</w:t>
      </w:r>
      <w:r>
        <w:t xml:space="preserve"> </w:t>
      </w:r>
      <w:r>
        <w:t xml:space="preserve">— Common Vulnerabilities and Exposures.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https://cve.mitre.org/cgi-bin/cvename.cgi?name=CVE-2019-0630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CVE-2019-17427</w:t>
      </w:r>
      <w:r>
        <w:t xml:space="preserve"> </w:t>
      </w:r>
      <w:r>
        <w:t xml:space="preserve">— Уязвимость XSS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https://cve.mitre.org/cgi-bin/cvename.cgi?name=CVE-2019-17427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CVE-2019-18890</w:t>
      </w:r>
      <w:r>
        <w:t xml:space="preserve"> </w:t>
      </w:r>
      <w:r>
        <w:t xml:space="preserve">— Уязвимость Blind SQL-инъекции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https://cve.mitre.org/cgi-bin/cvename.cgi?name=CVE-2019-18890</w:t>
      </w:r>
    </w:p>
    <w:bookmarkEnd w:id="5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5" Target="media/rId15.png" /><Relationship Type="http://schemas.openxmlformats.org/officeDocument/2006/relationships/image" Id="rId11" Target="media/rId11.png" /><Relationship Type="http://schemas.openxmlformats.org/officeDocument/2006/relationships/image" Id="rId19" Target="media/rId19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1-C (НФИ-2)</dc:title>
  <dc:creator>Козлов В.П., Гэинэ А., Шуваев С., Джахангиров И.З, Хватов М.Г. | НФИбд-02-22</dc:creator>
  <dc:language>ru-RU</dc:language>
  <cp:keywords/>
  <dcterms:created xsi:type="dcterms:W3CDTF">2025-10-13T17:34:21Z</dcterms:created>
  <dcterms:modified xsi:type="dcterms:W3CDTF">2025-10-13T17:34:21Z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Arial</vt:lpwstr>
  </property>
  <property fmtid="{D5CDD505-2E9C-101B-9397-08002B2CF9AE}" pid="62" name="mainfontoptions">
    <vt:lpwstr>Ligatures=TeX</vt:lpwstr>
  </property>
  <property fmtid="{D5CDD505-2E9C-101B-9397-08002B2CF9AE}" pid="63" name="monofont">
    <vt:lpwstr>Arial</vt:lpwstr>
  </property>
  <property fmtid="{D5CDD505-2E9C-101B-9397-08002B2CF9AE}" pid="64" name="monofontoptions">
    <vt:lpwstr>Scale=MatchLowercase,Scale=0.9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Arial</vt:lpwstr>
  </property>
  <property fmtid="{D5CDD505-2E9C-101B-9397-08002B2CF9AE}" pid="75" name="romanfontoptions">
    <vt:lpwstr>Ligatures=TeX</vt:lpwstr>
  </property>
  <property fmtid="{D5CDD505-2E9C-101B-9397-08002B2CF9AE}" pid="76" name="sansfont">
    <vt:lpwstr>Arial</vt:lpwstr>
  </property>
  <property fmtid="{D5CDD505-2E9C-101B-9397-08002B2CF9AE}" pid="77" name="sansfontoptions">
    <vt:lpwstr>Ligatures=TeX,Scale=MatchLowercase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Программный комплекс обучения методам обнаружения, анализа и устранения последствий компьютерных атак «Ampire»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