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Простые модели компьютерной сети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топологию сети, состоящую из двух узлов и одного соединения в NS-2.</w:t>
      </w:r>
    </w:p>
    <w:p>
      <w:pPr>
        <w:pStyle w:val="Compact"/>
        <w:numPr>
          <w:ilvl w:val="0"/>
          <w:numId w:val="1001"/>
        </w:numPr>
      </w:pPr>
      <w:r>
        <w:t xml:space="preserve">Реализовать кольцевую топологию сети в NS-2.</w:t>
      </w:r>
    </w:p>
    <w:p>
      <w:pPr>
        <w:pStyle w:val="Compact"/>
        <w:numPr>
          <w:ilvl w:val="0"/>
          <w:numId w:val="1001"/>
        </w:numPr>
      </w:pPr>
      <w:r>
        <w:t xml:space="preserve">Реализовать видоизмененную кольцевую топологию сети в NS-2.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директорию и файл шаблона (рис. 1)</w:t>
      </w:r>
    </w:p>
    <w:bookmarkStart w:id="25" w:name="fig:001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: Файл шаблон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шаблона</w:t>
      </w:r>
    </w:p>
    <w:bookmarkEnd w:id="25"/>
    <w:p>
      <w:pPr>
        <w:pStyle w:val="BodyText"/>
      </w:pPr>
      <w:r>
        <w:t xml:space="preserve">Создал переменную nf и указал, что требуется открыть на запись nam-файл для регистрации выходных результатов моделирования (рис. 2)</w:t>
      </w:r>
    </w:p>
    <w:bookmarkStart w:id="29" w:name="fig:00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2: Переменная nf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Переменная nf</w:t>
      </w:r>
    </w:p>
    <w:bookmarkEnd w:id="29"/>
    <w:p>
      <w:pPr>
        <w:pStyle w:val="BodyText"/>
      </w:pPr>
      <w:r>
        <w:t xml:space="preserve">Создал переменную f и открыл на запись файл трассировки для регистрации всех событий модели. Написал процедуру finish (рис. 3)</w:t>
      </w:r>
    </w:p>
    <w:bookmarkStart w:id="33" w:name="fig:003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3: Переменная f. Процедура finish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Переменная f. Процедура finish</w:t>
      </w:r>
    </w:p>
    <w:bookmarkEnd w:id="33"/>
    <w:p>
      <w:pPr>
        <w:pStyle w:val="BodyText"/>
      </w:pPr>
      <w:r>
        <w:t xml:space="preserve">С помощью команды at указал планировщику событий, что процедуру finish следует запустить через 5 с после начала моделирования, после чего запустить симулятор ns (рис. 4)</w:t>
      </w:r>
    </w:p>
    <w:bookmarkStart w:id="37" w:name="fig:00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4: Запуск процедуры finish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процедуры finish</w:t>
      </w:r>
    </w:p>
    <w:bookmarkEnd w:id="37"/>
    <w:p>
      <w:pPr>
        <w:pStyle w:val="BodyText"/>
      </w:pPr>
      <w:r>
        <w:t xml:space="preserve">Сохранил изменения и запустил программу (рис. 5)</w:t>
      </w:r>
    </w:p>
    <w:bookmarkStart w:id="41" w:name="fig:00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5: Запуск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</w:t>
      </w:r>
    </w:p>
    <w:bookmarkEnd w:id="41"/>
    <w:p>
      <w:pPr>
        <w:pStyle w:val="BodyText"/>
      </w:pPr>
      <w:r>
        <w:t xml:space="preserve">Создал example1.tcl. Написал программу (часть 1) (рис. 6)</w:t>
      </w:r>
    </w:p>
    <w:bookmarkStart w:id="45" w:name="fig:006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6: Редактирование example1.tcl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example1.tcl</w:t>
      </w:r>
    </w:p>
    <w:bookmarkEnd w:id="45"/>
    <w:p>
      <w:pPr>
        <w:pStyle w:val="BodyText"/>
      </w:pPr>
      <w:r>
        <w:t xml:space="preserve">Написал программу (часть 2) (рис. 7)</w:t>
      </w:r>
    </w:p>
    <w:bookmarkStart w:id="49" w:name="fig:007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7: Редактирование example1.tcl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example1.tcl</w:t>
      </w:r>
    </w:p>
    <w:bookmarkEnd w:id="49"/>
    <w:p>
      <w:pPr>
        <w:pStyle w:val="BodyText"/>
      </w:pPr>
      <w:r>
        <w:t xml:space="preserve">Запустил код программы example1.tcl. Просмотрел движение пакетов данных (рис. 8)</w:t>
      </w:r>
    </w:p>
    <w:bookmarkStart w:id="53" w:name="fig:008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8: Запуск рограмм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рограммы</w:t>
      </w:r>
    </w:p>
    <w:bookmarkEnd w:id="53"/>
    <w:p>
      <w:pPr>
        <w:pStyle w:val="BodyText"/>
      </w:pPr>
      <w:r>
        <w:t xml:space="preserve">Создал новый файл example2.tcl. В нем создал 4 узла и 3 дуплексных соединения с указанием направления. (рис. 9)</w:t>
      </w:r>
    </w:p>
    <w:bookmarkStart w:id="57" w:name="fig:009"/>
    <w:p>
      <w:pPr>
        <w:pStyle w:val="CaptionedFigure"/>
      </w:pPr>
      <w:r>
        <w:drawing>
          <wp:inline>
            <wp:extent cx="3733800" cy="1973146"/>
            <wp:effectExtent b="0" l="0" r="0" t="0"/>
            <wp:docPr descr="Рис. 9: Редактирование example2.tcl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example2.tcl</w:t>
      </w:r>
    </w:p>
    <w:bookmarkEnd w:id="57"/>
    <w:p>
      <w:pPr>
        <w:pStyle w:val="BodyText"/>
      </w:pPr>
      <w:r>
        <w:t xml:space="preserve">Создал агенты-получатели. Соединил агенты udp0 и tcp1 и их получателей (рис. 10)</w:t>
      </w:r>
    </w:p>
    <w:bookmarkStart w:id="61" w:name="fig:010"/>
    <w:p>
      <w:pPr>
        <w:pStyle w:val="CaptionedFigure"/>
      </w:pPr>
      <w:r>
        <w:drawing>
          <wp:inline>
            <wp:extent cx="3733800" cy="1934511"/>
            <wp:effectExtent b="0" l="0" r="0" t="0"/>
            <wp:docPr descr="Рис. 10: Редактирование example2.tcl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example2.tcl</w:t>
      </w:r>
    </w:p>
    <w:bookmarkEnd w:id="61"/>
    <w:p>
      <w:pPr>
        <w:pStyle w:val="BodyText"/>
      </w:pPr>
      <w:r>
        <w:t xml:space="preserve">Запустил код программы example2.tcl. Просмотрел движение пакетов данных (рис. 11)</w:t>
      </w:r>
    </w:p>
    <w:bookmarkStart w:id="65" w:name="fig:011"/>
    <w:p>
      <w:pPr>
        <w:pStyle w:val="CaptionedFigure"/>
      </w:pPr>
      <w:r>
        <w:drawing>
          <wp:inline>
            <wp:extent cx="3733800" cy="2042137"/>
            <wp:effectExtent b="0" l="0" r="0" t="0"/>
            <wp:docPr descr="Рис. 11: Запуск рограммы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рограммы</w:t>
      </w:r>
    </w:p>
    <w:bookmarkEnd w:id="65"/>
    <w:p>
      <w:pPr>
        <w:pStyle w:val="BodyText"/>
      </w:pPr>
      <w:r>
        <w:t xml:space="preserve">Создал новый файл example2.tcl. Написал первую чать программы (рис. 12)</w:t>
      </w:r>
    </w:p>
    <w:bookmarkStart w:id="69" w:name="fig:012"/>
    <w:p>
      <w:pPr>
        <w:pStyle w:val="CaptionedFigure"/>
      </w:pPr>
      <w:r>
        <w:drawing>
          <wp:inline>
            <wp:extent cx="3733800" cy="1942790"/>
            <wp:effectExtent b="0" l="0" r="0" t="0"/>
            <wp:docPr descr="Рис. 12: Редактирование example3.tcl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example3.tcl</w:t>
      </w:r>
    </w:p>
    <w:bookmarkEnd w:id="69"/>
    <w:p>
      <w:pPr>
        <w:pStyle w:val="BodyText"/>
      </w:pPr>
      <w:r>
        <w:t xml:space="preserve">Запустил код программы example2.tcl. Просмотрел движение пакетов данных в случае разрыва соединения (рис. 13)</w:t>
      </w:r>
    </w:p>
    <w:bookmarkStart w:id="73" w:name="fig:013"/>
    <w:p>
      <w:pPr>
        <w:pStyle w:val="CaptionedFigure"/>
      </w:pPr>
      <w:r>
        <w:drawing>
          <wp:inline>
            <wp:extent cx="3733800" cy="2050416"/>
            <wp:effectExtent b="0" l="0" r="0" t="0"/>
            <wp:docPr descr="Рис. 13: Запуск рограммы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рограммы</w:t>
      </w:r>
    </w:p>
    <w:bookmarkEnd w:id="73"/>
    <w:p>
      <w:pPr>
        <w:pStyle w:val="BodyText"/>
      </w:pPr>
      <w:r>
        <w:t xml:space="preserve">Просмотрел движение пакетов данных с использованием команды $ns rtproto DV (рис. 14)</w:t>
      </w:r>
    </w:p>
    <w:bookmarkStart w:id="77" w:name="fig:014"/>
    <w:p>
      <w:pPr>
        <w:pStyle w:val="CaptionedFigure"/>
      </w:pPr>
      <w:r>
        <w:drawing>
          <wp:inline>
            <wp:extent cx="3733800" cy="2025579"/>
            <wp:effectExtent b="0" l="0" r="0" t="0"/>
            <wp:docPr descr="Рис. 14: Редактирование example3.tcl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example3.tcl</w:t>
      </w:r>
    </w:p>
    <w:bookmarkEnd w:id="77"/>
    <w:p>
      <w:pPr>
        <w:pStyle w:val="BodyText"/>
      </w:pPr>
      <w:r>
        <w:t xml:space="preserve">Написал код для программы из Упражнения (рис. 15)</w:t>
      </w:r>
    </w:p>
    <w:bookmarkStart w:id="81" w:name="fig:015"/>
    <w:p>
      <w:pPr>
        <w:pStyle w:val="CaptionedFigure"/>
      </w:pPr>
      <w:r>
        <w:drawing>
          <wp:inline>
            <wp:extent cx="3733800" cy="1917953"/>
            <wp:effectExtent b="0" l="0" r="0" t="0"/>
            <wp:docPr descr="Рис. 15: Код программы из Упражнения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Код программы из Упражнения</w:t>
      </w:r>
    </w:p>
    <w:bookmarkEnd w:id="81"/>
    <w:p>
      <w:pPr>
        <w:pStyle w:val="BodyText"/>
      </w:pPr>
      <w:r>
        <w:t xml:space="preserve">Запустил программу. Вначале пакеты идут по кратчайшему пути. (рис. 16)</w:t>
      </w:r>
    </w:p>
    <w:bookmarkStart w:id="85" w:name="fig:016"/>
    <w:p>
      <w:pPr>
        <w:pStyle w:val="CaptionedFigure"/>
      </w:pPr>
      <w:r>
        <w:drawing>
          <wp:inline>
            <wp:extent cx="3733800" cy="2050416"/>
            <wp:effectExtent b="0" l="0" r="0" t="0"/>
            <wp:docPr descr="Рис. 16: Движение пакетов по кратчайшему пут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Движение пакетов по кратчайшему пути</w:t>
      </w:r>
    </w:p>
    <w:bookmarkEnd w:id="85"/>
    <w:p>
      <w:pPr>
        <w:pStyle w:val="BodyText"/>
      </w:pPr>
      <w:r>
        <w:t xml:space="preserve">Движение пакетов в случае разрыва соединения. (рис. 17)</w:t>
      </w:r>
    </w:p>
    <w:bookmarkStart w:id="89" w:name="fig:017"/>
    <w:p>
      <w:pPr>
        <w:pStyle w:val="CaptionedFigure"/>
      </w:pPr>
      <w:r>
        <w:drawing>
          <wp:inline>
            <wp:extent cx="3733800" cy="2066974"/>
            <wp:effectExtent b="0" l="0" r="0" t="0"/>
            <wp:docPr descr="Рис. 17: Движение пакетов в случае разрыва соединения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Движение пакетов в случае разрыва соединения</w:t>
      </w:r>
    </w:p>
    <w:bookmarkEnd w:id="89"/>
    <w:p>
      <w:pPr>
        <w:pStyle w:val="BodyText"/>
      </w:pPr>
      <w:r>
        <w:t xml:space="preserve">Пакеты снова идут по кратчайшему пути (рис. 18)</w:t>
      </w:r>
    </w:p>
    <w:bookmarkStart w:id="93" w:name="fig:018"/>
    <w:p>
      <w:pPr>
        <w:pStyle w:val="CaptionedFigure"/>
      </w:pPr>
      <w:r>
        <w:drawing>
          <wp:inline>
            <wp:extent cx="3733800" cy="2047656"/>
            <wp:effectExtent b="0" l="0" r="0" t="0"/>
            <wp:docPr descr="Рис. 18: Движение пакетов по кратчайшему пут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Движение пакетов по кратчайшему пути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навыки моделирования сетей передачи данных с помощью средств имитационного моделирования NS-2, а также анализа полученных результатов моделирования.</w:t>
      </w:r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Козлов Всеволод Павлович НФИбд-02-22</dc:creator>
  <dc:language>ru-RU</dc:language>
  <cp:keywords/>
  <dcterms:created xsi:type="dcterms:W3CDTF">2025-02-22T14:21:16Z</dcterms:created>
  <dcterms:modified xsi:type="dcterms:W3CDTF">2025-02-22T14:21:16Z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Arial</vt:lpwstr>
  </property>
  <property fmtid="{D5CDD505-2E9C-101B-9397-08002B2CF9AE}" pid="61" name="mainfontoptions">
    <vt:lpwstr>Ligatures=TeX</vt:lpwstr>
  </property>
  <property fmtid="{D5CDD505-2E9C-101B-9397-08002B2CF9AE}" pid="62" name="monofont">
    <vt:lpwstr>Arial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Arial</vt:lpwstr>
  </property>
  <property fmtid="{D5CDD505-2E9C-101B-9397-08002B2CF9AE}" pid="74" name="romanfontoptions">
    <vt:lpwstr>Ligatures=TeX</vt:lpwstr>
  </property>
  <property fmtid="{D5CDD505-2E9C-101B-9397-08002B2CF9AE}" pid="75" name="sansfont">
    <vt:lpwstr>Arial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Простые модели компьютерной сети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