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№11</w:t>
      </w:r>
    </w:p>
    <w:p>
      <w:pPr>
        <w:pStyle w:val="Subtitle"/>
      </w:pPr>
      <w:r>
        <w:t xml:space="preserve">Модель системы массового обслуживания M|M|1</w:t>
      </w:r>
    </w:p>
    <w:p>
      <w:pPr>
        <w:pStyle w:val="Author"/>
      </w:pPr>
      <w:r>
        <w:t xml:space="preserve">Козлов Всеволод Павлович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модель M|M|1 в CPN tools.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в CPN tools модель системы массового обслуживания M|M|1.</w:t>
      </w:r>
    </w:p>
    <w:p>
      <w:pPr>
        <w:pStyle w:val="Compact"/>
        <w:numPr>
          <w:ilvl w:val="0"/>
          <w:numId w:val="1001"/>
        </w:numPr>
      </w:pPr>
      <w:r>
        <w:t xml:space="preserve">Настроить мониторинг параметров моделируеой системы и нарисовать графики очереди.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Граф сети системы обработки заявки в очереди (рис. 1)</w:t>
      </w:r>
    </w:p>
    <w:bookmarkStart w:id="25" w:name="fig:001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: Граф сети системы обработки заявки в очеред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Граф сети системы обработки заявки в очереди</w:t>
      </w:r>
    </w:p>
    <w:bookmarkEnd w:id="25"/>
    <w:p>
      <w:pPr>
        <w:pStyle w:val="BodyText"/>
      </w:pPr>
      <w:r>
        <w:t xml:space="preserve">Граф генератора заявок системы (рис. 2)</w:t>
      </w:r>
    </w:p>
    <w:bookmarkStart w:id="29" w:name="fig:002"/>
    <w:p>
      <w:pPr>
        <w:pStyle w:val="CaptionedFigure"/>
      </w:pPr>
      <w:r>
        <w:drawing>
          <wp:inline>
            <wp:extent cx="3733800" cy="1802152"/>
            <wp:effectExtent b="0" l="0" r="0" t="0"/>
            <wp:docPr descr="Рис. 2: Граф генератора заявок систе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 генератора заявок системы</w:t>
      </w:r>
    </w:p>
    <w:bookmarkEnd w:id="29"/>
    <w:p>
      <w:pPr>
        <w:pStyle w:val="BodyText"/>
      </w:pPr>
      <w:r>
        <w:t xml:space="preserve">Граф процесса обработки заявок на сервере системы (рис. 3)</w:t>
      </w:r>
    </w:p>
    <w:bookmarkStart w:id="33" w:name="fig:003"/>
    <w:p>
      <w:pPr>
        <w:pStyle w:val="CaptionedFigure"/>
      </w:pPr>
      <w:r>
        <w:drawing>
          <wp:inline>
            <wp:extent cx="3733800" cy="1715390"/>
            <wp:effectExtent b="0" l="0" r="0" t="0"/>
            <wp:docPr descr="Рис. 3: Граф процесса обработки заявок на сервере систем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Граф процесса обработки заявок на сервере системы</w:t>
      </w:r>
    </w:p>
    <w:bookmarkEnd w:id="33"/>
    <w:p>
      <w:pPr>
        <w:pStyle w:val="BodyText"/>
      </w:pPr>
      <w:r>
        <w:t xml:space="preserve">Задал декларацию системы(рис. 4)</w:t>
      </w:r>
    </w:p>
    <w:bookmarkStart w:id="37" w:name="fig:004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4: Декларация систем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Декларация системы</w:t>
      </w:r>
    </w:p>
    <w:bookmarkEnd w:id="37"/>
    <w:p>
      <w:pPr>
        <w:pStyle w:val="BodyText"/>
      </w:pPr>
      <w:r>
        <w:t xml:space="preserve">Параметры элементов основного графика системы обработки заявок в очереди (рис. 5)</w:t>
      </w:r>
    </w:p>
    <w:bookmarkStart w:id="41" w:name="fig:005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5: Параметры элементов основного графика системы обработки заявок в очеред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Параметры элементов основного графика системы обработки заявок в очереди</w:t>
      </w:r>
    </w:p>
    <w:bookmarkEnd w:id="41"/>
    <w:p>
      <w:pPr>
        <w:pStyle w:val="BodyText"/>
      </w:pPr>
      <w:r>
        <w:t xml:space="preserve">Параметры элементов генератора заявок системы (рис. 6)</w:t>
      </w:r>
    </w:p>
    <w:bookmarkStart w:id="45" w:name="fig:006"/>
    <w:p>
      <w:pPr>
        <w:pStyle w:val="CaptionedFigure"/>
      </w:pPr>
      <w:r>
        <w:drawing>
          <wp:inline>
            <wp:extent cx="3733800" cy="1646322"/>
            <wp:effectExtent b="0" l="0" r="0" t="0"/>
            <wp:docPr descr="Рис. 6: Параметры элементов генератора заявок систем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Параметры элементов генератора заявок системы</w:t>
      </w:r>
    </w:p>
    <w:bookmarkEnd w:id="45"/>
    <w:p>
      <w:pPr>
        <w:pStyle w:val="BodyText"/>
      </w:pPr>
      <w:r>
        <w:t xml:space="preserve">Параметры элементов обработчика заявок системы (рис. 7)</w:t>
      </w:r>
    </w:p>
    <w:bookmarkStart w:id="49" w:name="fig:007"/>
    <w:p>
      <w:pPr>
        <w:pStyle w:val="CaptionedFigure"/>
      </w:pPr>
      <w:r>
        <w:drawing>
          <wp:inline>
            <wp:extent cx="3733800" cy="1680713"/>
            <wp:effectExtent b="0" l="0" r="0" t="0"/>
            <wp:docPr descr="Рис. 7: Параметры элементов обработчика заявок систем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Параметры элементов обработчика заявок системы</w:t>
      </w:r>
    </w:p>
    <w:bookmarkEnd w:id="49"/>
    <w:p>
      <w:pPr>
        <w:pStyle w:val="BodyText"/>
      </w:pPr>
      <w:r>
        <w:t xml:space="preserve">Написал функцию Predicate монитора Ostanowka (рис. 8)</w:t>
      </w:r>
    </w:p>
    <w:bookmarkStart w:id="53" w:name="fig:008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8: Функция Predicate монитора Ostanowka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Функция Predicate монитора Ostanowka</w:t>
      </w:r>
    </w:p>
    <w:bookmarkEnd w:id="53"/>
    <w:p>
      <w:pPr>
        <w:pStyle w:val="BodyText"/>
      </w:pPr>
      <w:r>
        <w:t xml:space="preserve">Написал функцию Observer монитора Queue Delay (рис. 9)</w:t>
      </w:r>
    </w:p>
    <w:bookmarkStart w:id="57" w:name="fig:009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9: Функция Observer монитора Queue Delay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Функция Observer монитора Queue Delay</w:t>
      </w:r>
    </w:p>
    <w:bookmarkEnd w:id="57"/>
    <w:p>
      <w:pPr>
        <w:pStyle w:val="BodyText"/>
      </w:pPr>
      <w:r>
        <w:t xml:space="preserve">Получил следующий файл Queue_Delay.log (рис. 10)</w:t>
      </w:r>
    </w:p>
    <w:bookmarkStart w:id="61" w:name="fig:010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0: Файл Queue_Delay.log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Queue_Delay.log</w:t>
      </w:r>
    </w:p>
    <w:bookmarkEnd w:id="61"/>
    <w:p>
      <w:pPr>
        <w:pStyle w:val="SourceCode"/>
      </w:pPr>
      <w:r>
        <w:rPr>
          <w:rStyle w:val="VerbatimChar"/>
        </w:rPr>
        <w:t xml:space="preserve">#!/usr/bin/gnuplot -persist</w:t>
      </w:r>
      <w:r>
        <w:br/>
      </w:r>
      <w:r>
        <w:rPr>
          <w:rStyle w:val="VerbatimChar"/>
        </w:rPr>
        <w:t xml:space="preserve"># задаём текстовую кодировку,</w:t>
      </w:r>
      <w:r>
        <w:br/>
      </w:r>
      <w:r>
        <w:rPr>
          <w:rStyle w:val="VerbatimChar"/>
        </w:rPr>
        <w:t xml:space="preserve"># тип терминала, тип и размер шрифта</w:t>
      </w:r>
      <w:r>
        <w:br/>
      </w:r>
      <w:r>
        <w:br/>
      </w:r>
      <w:r>
        <w:rPr>
          <w:rStyle w:val="VerbatimChar"/>
        </w:rPr>
        <w:t xml:space="preserve">set encoding utf8</w:t>
      </w:r>
      <w:r>
        <w:br/>
      </w:r>
      <w:r>
        <w:rPr>
          <w:rStyle w:val="VerbatimChar"/>
        </w:rPr>
        <w:t xml:space="preserve">set term pngcairo font "Helvetica,9"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'window_1.png'</w:t>
      </w:r>
      <w:r>
        <w:br/>
      </w:r>
      <w:r>
        <w:rPr>
          <w:rStyle w:val="VerbatimChar"/>
        </w:rPr>
        <w:t xml:space="preserve">plot "Queue_Delay.log" using ($4):($1) with lines</w:t>
      </w:r>
    </w:p>
    <w:p>
      <w:pPr>
        <w:pStyle w:val="FirstParagraph"/>
      </w:pPr>
      <w:r>
        <w:t xml:space="preserve">Построил график изменения задержки в очереди (рис. 11)</w:t>
      </w:r>
    </w:p>
    <w:bookmarkStart w:id="65" w:name="fig:011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1: График изменения задержки в очеред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График изменения задержки в очереди</w:t>
      </w:r>
    </w:p>
    <w:bookmarkEnd w:id="65"/>
    <w:p>
      <w:pPr>
        <w:pStyle w:val="BodyText"/>
      </w:pPr>
      <w:r>
        <w:t xml:space="preserve">Написал функцию Observer монитора Queue Delay Real (рис. 12)</w:t>
      </w:r>
    </w:p>
    <w:bookmarkStart w:id="69" w:name="fig:012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2: ФункциЯ Observer монитора Queue Delay Real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ФункциЯ Observer монитора Queue Delay Real</w:t>
      </w:r>
    </w:p>
    <w:bookmarkEnd w:id="69"/>
    <w:p>
      <w:pPr>
        <w:pStyle w:val="BodyText"/>
      </w:pPr>
      <w:r>
        <w:t xml:space="preserve">Получил следующий файл Queue_Delay_Real.log (рис. 13)</w:t>
      </w:r>
    </w:p>
    <w:bookmarkStart w:id="73" w:name="fig:013"/>
    <w:p>
      <w:pPr>
        <w:pStyle w:val="CaptionedFigure"/>
      </w:pPr>
      <w:r>
        <w:drawing>
          <wp:inline>
            <wp:extent cx="3733800" cy="1868279"/>
            <wp:effectExtent b="0" l="0" r="0" t="0"/>
            <wp:docPr descr="Рис. 13: Файл Queue_Delay_Real.log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 Queue_Delay_Real.log</w:t>
      </w:r>
    </w:p>
    <w:bookmarkEnd w:id="73"/>
    <w:p>
      <w:pPr>
        <w:pStyle w:val="BodyText"/>
      </w:pPr>
      <w:r>
        <w:t xml:space="preserve">Написал функцию Observer монитора Long Delay Time (рис. 14)</w:t>
      </w:r>
    </w:p>
    <w:bookmarkStart w:id="77" w:name="fig:014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4: Функция Observer монитора Long Delay Time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Функция Observer монитора Long Delay Time</w:t>
      </w:r>
    </w:p>
    <w:bookmarkEnd w:id="77"/>
    <w:p>
      <w:pPr>
        <w:pStyle w:val="BodyText"/>
      </w:pPr>
      <w:r>
        <w:t xml:space="preserve">Получил следующий файл Long_Delay_Time.log (рис. 15)</w:t>
      </w:r>
    </w:p>
    <w:bookmarkStart w:id="81" w:name="fig:015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5: Файл Long_Delay_Time.log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Файл Long_Delay_Time.log</w:t>
      </w:r>
    </w:p>
    <w:bookmarkEnd w:id="81"/>
    <w:p>
      <w:pPr>
        <w:pStyle w:val="SourceCode"/>
      </w:pPr>
      <w:r>
        <w:rPr>
          <w:rStyle w:val="VerbatimChar"/>
        </w:rPr>
        <w:t xml:space="preserve">#!/usr/bin/gnuplot -persist</w:t>
      </w:r>
      <w:r>
        <w:br/>
      </w:r>
      <w:r>
        <w:rPr>
          <w:rStyle w:val="VerbatimChar"/>
        </w:rPr>
        <w:t xml:space="preserve"># задаём текстовую кодировку,</w:t>
      </w:r>
      <w:r>
        <w:br/>
      </w:r>
      <w:r>
        <w:rPr>
          <w:rStyle w:val="VerbatimChar"/>
        </w:rPr>
        <w:t xml:space="preserve"># тип терминала, тип и размер шрифта</w:t>
      </w:r>
      <w:r>
        <w:br/>
      </w:r>
      <w:r>
        <w:br/>
      </w:r>
      <w:r>
        <w:rPr>
          <w:rStyle w:val="VerbatimChar"/>
        </w:rPr>
        <w:t xml:space="preserve">set encoding utf8</w:t>
      </w:r>
      <w:r>
        <w:br/>
      </w:r>
      <w:r>
        <w:rPr>
          <w:rStyle w:val="VerbatimChar"/>
        </w:rPr>
        <w:t xml:space="preserve">set term pngcairo font "Helvetica,9"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'window_1.png'</w:t>
      </w:r>
      <w:r>
        <w:br/>
      </w:r>
      <w:r>
        <w:rPr>
          <w:rStyle w:val="VerbatimChar"/>
        </w:rPr>
        <w:t xml:space="preserve">set style line 2</w:t>
      </w:r>
      <w:r>
        <w:br/>
      </w:r>
      <w:r>
        <w:rPr>
          <w:rStyle w:val="VerbatimChar"/>
        </w:rPr>
        <w:t xml:space="preserve">plot [0:] [0:1.2] "Long_Delay_Time.log" using ($4):($1) with lines</w:t>
      </w:r>
    </w:p>
    <w:p>
      <w:pPr>
        <w:pStyle w:val="FirstParagraph"/>
      </w:pPr>
      <w:r>
        <w:t xml:space="preserve">Построил график: периоды времени, когда значения задержки в очереди превышали заданное значение (рис. 16)</w:t>
      </w:r>
    </w:p>
    <w:bookmarkStart w:id="85" w:name="fig:016"/>
    <w:p>
      <w:pPr>
        <w:pStyle w:val="CaptionedFigure"/>
      </w:pPr>
      <w:r>
        <w:drawing>
          <wp:inline>
            <wp:extent cx="3733800" cy="1843443"/>
            <wp:effectExtent b="0" l="0" r="0" t="0"/>
            <wp:docPr descr="Рис. 16: Периоды времени, когда значения задержки в очереди превышали заданное значение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Периоды времени, когда значения задержки в очереди превышали заданное значение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Реализовал модель M|M|1 в CPN tools.</w:t>
      </w:r>
    </w:p>
    <w:bookmarkEnd w:id="8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Козлов Всеволод Павлович НФИбд-02-22</dc:creator>
  <dc:language>ru-RU</dc:language>
  <cp:keywords/>
  <dcterms:created xsi:type="dcterms:W3CDTF">2025-04-25T09:42:44Z</dcterms:created>
  <dcterms:modified xsi:type="dcterms:W3CDTF">2025-04-25T09:42:44Z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Arial</vt:lpwstr>
  </property>
  <property fmtid="{D5CDD505-2E9C-101B-9397-08002B2CF9AE}" pid="61" name="mainfontoptions">
    <vt:lpwstr>Ligatures=TeX</vt:lpwstr>
  </property>
  <property fmtid="{D5CDD505-2E9C-101B-9397-08002B2CF9AE}" pid="62" name="monofont">
    <vt:lpwstr>Arial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Arial</vt:lpwstr>
  </property>
  <property fmtid="{D5CDD505-2E9C-101B-9397-08002B2CF9AE}" pid="74" name="romanfontoptions">
    <vt:lpwstr>Ligatures=TeX</vt:lpwstr>
  </property>
  <property fmtid="{D5CDD505-2E9C-101B-9397-08002B2CF9AE}" pid="75" name="sansfont">
    <vt:lpwstr>Arial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Модель системы массового обслуживания M|M|1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