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№16</w:t>
      </w:r>
    </w:p>
    <w:p>
      <w:pPr>
        <w:pStyle w:val="Subtitle"/>
      </w:pPr>
      <w:r>
        <w:t xml:space="preserve">Задачи оптимизации. Модель двух стратегий обслуживания</w:t>
      </w:r>
    </w:p>
    <w:p>
      <w:pPr>
        <w:pStyle w:val="Author"/>
      </w:pPr>
      <w:r>
        <w:t xml:space="preserve">Козлов Всеволод Павлович НФИбд-02-22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с помощью gpss модель двух стратегий обслуживания и оценить оптимальные параметры.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Реализовать с помощью gpss:</w:t>
      </w:r>
    </w:p>
    <w:p>
      <w:pPr>
        <w:pStyle w:val="Compact"/>
        <w:numPr>
          <w:ilvl w:val="0"/>
          <w:numId w:val="1001"/>
        </w:numPr>
      </w:pPr>
      <w:r>
        <w:t xml:space="preserve">модель с двумя очередями;</w:t>
      </w:r>
    </w:p>
    <w:p>
      <w:pPr>
        <w:pStyle w:val="Compact"/>
        <w:numPr>
          <w:ilvl w:val="0"/>
          <w:numId w:val="1001"/>
        </w:numPr>
      </w:pPr>
      <w:r>
        <w:t xml:space="preserve">модель с одной очередью;</w:t>
      </w:r>
    </w:p>
    <w:p>
      <w:pPr>
        <w:pStyle w:val="Compact"/>
        <w:numPr>
          <w:ilvl w:val="0"/>
          <w:numId w:val="1001"/>
        </w:numPr>
      </w:pPr>
      <w:r>
        <w:t xml:space="preserve">изменить модели, чтобы определить оптимальное число пропускных пунктов.</w:t>
      </w:r>
    </w:p>
    <w:bookmarkEnd w:id="21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постановка-задачи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Постановка задачи</w:t>
      </w:r>
    </w:p>
    <w:p>
      <w:pPr>
        <w:pStyle w:val="FirstParagraph"/>
      </w:pPr>
      <w:r>
        <w:t xml:space="preserve">На пограничном контрольно-пропускном пункте транспорта имеются 2 пункта</w:t>
      </w:r>
      <w:r>
        <w:t xml:space="preserve"> </w:t>
      </w:r>
      <w:r>
        <w:t xml:space="preserve">пропуска. Интервалы времени между поступлением автомобилей имеют экспоненциальное распределение со средним значением</w:t>
      </w:r>
      <w:r>
        <w:t xml:space="preserve"> </w:t>
      </w:r>
      <m:oMath>
        <m:r>
          <m:t>μ</m:t>
        </m:r>
      </m:oMath>
      <w:r>
        <w:t xml:space="preserve">. Время прохождения автомобилями</w:t>
      </w:r>
      <w:r>
        <w:t xml:space="preserve"> </w:t>
      </w:r>
      <w:r>
        <w:t xml:space="preserve">пограничного контроля имеет равномерное распределение на интервале</w:t>
      </w:r>
      <w:r>
        <w:t xml:space="preserve"> </w:t>
      </w:r>
      <m:oMath>
        <m:d>
          <m:dPr>
            <m:begChr m:val="["/>
            <m:sepChr m:val=""/>
            <m:endChr m:val="]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.</w:t>
      </w:r>
      <w:r>
        <w:t xml:space="preserve"> </w:t>
      </w:r>
      <w:r>
        <w:t xml:space="preserve">Предлагается две стратегии обслуживания прибывающих автомобилей:</w:t>
      </w:r>
    </w:p>
    <w:p>
      <w:pPr>
        <w:pStyle w:val="Compact"/>
        <w:numPr>
          <w:ilvl w:val="0"/>
          <w:numId w:val="1002"/>
        </w:numPr>
      </w:pPr>
      <w:r>
        <w:t xml:space="preserve">автомобили образуют две очереди и обслуживаются соответствующими пунктами</w:t>
      </w:r>
      <w:r>
        <w:t xml:space="preserve"> </w:t>
      </w:r>
      <w:r>
        <w:t xml:space="preserve">пропуска;</w:t>
      </w:r>
    </w:p>
    <w:p>
      <w:pPr>
        <w:pStyle w:val="Compact"/>
        <w:numPr>
          <w:ilvl w:val="0"/>
          <w:numId w:val="1002"/>
        </w:numPr>
      </w:pPr>
      <w:r>
        <w:t xml:space="preserve">автомобили образуют одну общую очередь и обслуживаются освободившимся</w:t>
      </w:r>
      <w:r>
        <w:t xml:space="preserve"> </w:t>
      </w:r>
      <w:r>
        <w:t xml:space="preserve">пунктом пропуска.</w:t>
      </w:r>
      <w:r>
        <w:t xml:space="preserve"> </w:t>
      </w:r>
      <w:r>
        <w:t xml:space="preserve">Исходные данные: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= 1, 75 мин,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= 1 мин,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= 7 мин.</w:t>
      </w:r>
    </w:p>
    <w:bookmarkEnd w:id="22"/>
    <w:bookmarkStart w:id="39" w:name="построение-модели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Построение модели</w:t>
      </w:r>
    </w:p>
    <w:p>
      <w:pPr>
        <w:pStyle w:val="FirstParagraph"/>
      </w:pPr>
      <w:r>
        <w:t xml:space="preserve">Целью моделирования является определение:</w:t>
      </w:r>
    </w:p>
    <w:p>
      <w:pPr>
        <w:pStyle w:val="Compact"/>
        <w:numPr>
          <w:ilvl w:val="0"/>
          <w:numId w:val="1003"/>
        </w:numPr>
      </w:pPr>
      <w:r>
        <w:t xml:space="preserve">характеристик качества обслуживания автомобилей, в частности, средних длин</w:t>
      </w:r>
      <w:r>
        <w:t xml:space="preserve"> </w:t>
      </w:r>
      <w:r>
        <w:t xml:space="preserve">очередей; среднего времени обслуживания автомобиля; среднего времени пребывания автомобиля на пункте пропуска;</w:t>
      </w:r>
    </w:p>
    <w:p>
      <w:pPr>
        <w:pStyle w:val="Compact"/>
        <w:numPr>
          <w:ilvl w:val="0"/>
          <w:numId w:val="1003"/>
        </w:numPr>
      </w:pPr>
      <w:r>
        <w:t xml:space="preserve">наилучшей стратегии обслуживания автомобилей на пункте пограничного контроля;</w:t>
      </w:r>
    </w:p>
    <w:p>
      <w:pPr>
        <w:pStyle w:val="Compact"/>
        <w:numPr>
          <w:ilvl w:val="0"/>
          <w:numId w:val="1003"/>
        </w:numPr>
      </w:pPr>
      <w:r>
        <w:t xml:space="preserve">оптимального количества пропускных пунктов.</w:t>
      </w:r>
    </w:p>
    <w:p>
      <w:pPr>
        <w:pStyle w:val="FirstParagraph"/>
      </w:pPr>
      <w:r>
        <w:t xml:space="preserve">В качестве критериев, используемых для сравнения стратегий обслуживания</w:t>
      </w:r>
      <w:r>
        <w:t xml:space="preserve"> </w:t>
      </w:r>
      <w:r>
        <w:t xml:space="preserve">автомобилей, выберем:</w:t>
      </w:r>
    </w:p>
    <w:p>
      <w:pPr>
        <w:pStyle w:val="Compact"/>
        <w:numPr>
          <w:ilvl w:val="0"/>
          <w:numId w:val="1004"/>
        </w:numPr>
      </w:pPr>
      <w:r>
        <w:t xml:space="preserve">коэффициенты загрузки системы;</w:t>
      </w:r>
    </w:p>
    <w:p>
      <w:pPr>
        <w:pStyle w:val="Compact"/>
        <w:numPr>
          <w:ilvl w:val="0"/>
          <w:numId w:val="1004"/>
        </w:numPr>
      </w:pPr>
      <w:r>
        <w:t xml:space="preserve">максимальные и средние длины очередей;</w:t>
      </w:r>
    </w:p>
    <w:p>
      <w:pPr>
        <w:pStyle w:val="Compact"/>
        <w:numPr>
          <w:ilvl w:val="0"/>
          <w:numId w:val="1004"/>
        </w:numPr>
      </w:pPr>
      <w:r>
        <w:t xml:space="preserve">средние значения времени ожидания обслуживания.</w:t>
      </w:r>
    </w:p>
    <w:p>
      <w:pPr>
        <w:pStyle w:val="FirstParagraph"/>
      </w:pPr>
      <w:r>
        <w:t xml:space="preserve">Прибывающие автомобили образуют две очереди и обсл. соответств. пропускными пунктами (рис. 1).</w:t>
      </w:r>
    </w:p>
    <w:bookmarkStart w:id="26" w:name="fig:001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1: Прибывающие автомобили образуют две очереди и обсл. соответств. пропускными пунктами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Прибывающие автомобили образуют две очереди и обсл. соответств. пропускными пунктами</w:t>
      </w:r>
    </w:p>
    <w:bookmarkEnd w:id="26"/>
    <w:p>
      <w:pPr>
        <w:pStyle w:val="BodyText"/>
      </w:pPr>
      <w:r>
        <w:t xml:space="preserve">Отчет. Прибывающие автомобили образуют две очереди и обсл. соответств. пропускными пунктами (рис. 2).</w:t>
      </w:r>
    </w:p>
    <w:bookmarkStart w:id="30" w:name="fig:002"/>
    <w:p>
      <w:pPr>
        <w:pStyle w:val="CaptionedFigure"/>
      </w:pPr>
      <w:r>
        <w:drawing>
          <wp:inline>
            <wp:extent cx="3733800" cy="2240831"/>
            <wp:effectExtent b="0" l="0" r="0" t="0"/>
            <wp:docPr descr="Рис. 2: Отчет. Прибывающие автомобили образуют две очереди и обсл. соответств. пропускными пунктами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0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Отчет. Прибывающие автомобили образуют две очереди и обсл. соответств. пропускными пунктами</w:t>
      </w:r>
    </w:p>
    <w:bookmarkEnd w:id="30"/>
    <w:p>
      <w:pPr>
        <w:pStyle w:val="BodyText"/>
      </w:pPr>
      <w:r>
        <w:t xml:space="preserve">Прибывающие автомобили образуют одну очередь и обсл. освободившимися пропускными пунктами (рис. 3).</w:t>
      </w:r>
    </w:p>
    <w:bookmarkStart w:id="34" w:name="fig:003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3: Прибывающие автомобили образуют одну очередь и обсл. освободившимися пропускными пунктами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Прибывающие автомобили образуют одну очередь и обсл. освободившимися пропускными пунктами</w:t>
      </w:r>
    </w:p>
    <w:bookmarkEnd w:id="34"/>
    <w:p>
      <w:pPr>
        <w:pStyle w:val="BodyText"/>
      </w:pPr>
      <w:r>
        <w:t xml:space="preserve">Отчет. Прибывающие автомобили образуют одну очередь и обсл. освободившимися пропускными пунктами (рис. 4).</w:t>
      </w:r>
    </w:p>
    <w:bookmarkStart w:id="38" w:name="fig:004"/>
    <w:p>
      <w:pPr>
        <w:pStyle w:val="CaptionedFigure"/>
      </w:pPr>
      <w:r>
        <w:drawing>
          <wp:inline>
            <wp:extent cx="3733800" cy="1868279"/>
            <wp:effectExtent b="0" l="0" r="0" t="0"/>
            <wp:docPr descr="Рис. 4: Отчет. Прибывающие автомобили образуют одну очередь и обсл. освободившимися пропускными пунктами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8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Отчет. Прибывающие автомобили образуют одну очередь и обсл. освободившимися пропускными пунктами</w:t>
      </w:r>
    </w:p>
    <w:bookmarkEnd w:id="38"/>
    <w:p>
      <w:pPr>
        <w:pStyle w:val="BodyText"/>
      </w:pPr>
      <w:r>
        <w:t xml:space="preserve">Составим таблицу по полученной статистике</w:t>
      </w:r>
    </w:p>
    <w:p>
      <w:pPr>
        <w:pStyle w:val="TableCaption"/>
      </w:pPr>
      <w:r>
        <w:t xml:space="preserve">Сравнение стратегий {#tbl:strategy}: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Сравнение стратегий {#tbl:strategy}:"/>
      </w:tblPr>
      <w:tblGrid>
        <w:gridCol w:w="2996"/>
        <w:gridCol w:w="1391"/>
        <w:gridCol w:w="963"/>
        <w:gridCol w:w="1070"/>
        <w:gridCol w:w="149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Показатель</w:t>
            </w:r>
          </w:p>
        </w:tc>
        <w:tc>
          <w:tcPr/>
          <w:p>
            <w:pPr>
              <w:pStyle w:val="Compact"/>
            </w:pPr>
            <w:r>
              <w:t xml:space="preserve">стратегия 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стратегия 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пункт 1</w:t>
            </w:r>
          </w:p>
        </w:tc>
        <w:tc>
          <w:tcPr/>
          <w:p>
            <w:pPr>
              <w:pStyle w:val="Compact"/>
            </w:pPr>
            <w:r>
              <w:t xml:space="preserve">пункт 2</w:t>
            </w:r>
          </w:p>
        </w:tc>
        <w:tc>
          <w:tcPr/>
          <w:p>
            <w:pPr>
              <w:pStyle w:val="Compact"/>
            </w:pPr>
            <w:r>
              <w:t xml:space="preserve">в целом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Поступило автомобилей</w:t>
            </w:r>
          </w:p>
        </w:tc>
        <w:tc>
          <w:tcPr/>
          <w:p>
            <w:pPr>
              <w:pStyle w:val="Compact"/>
            </w:pPr>
            <w:r>
              <w:t xml:space="preserve">2928</w:t>
            </w:r>
          </w:p>
        </w:tc>
        <w:tc>
          <w:tcPr/>
          <w:p>
            <w:pPr>
              <w:pStyle w:val="Compact"/>
            </w:pPr>
            <w:r>
              <w:t xml:space="preserve">2925</w:t>
            </w:r>
          </w:p>
        </w:tc>
        <w:tc>
          <w:tcPr/>
          <w:p>
            <w:pPr>
              <w:pStyle w:val="Compact"/>
            </w:pPr>
            <w:r>
              <w:t xml:space="preserve">5853</w:t>
            </w:r>
          </w:p>
        </w:tc>
        <w:tc>
          <w:tcPr/>
          <w:p>
            <w:pPr>
              <w:pStyle w:val="Compact"/>
            </w:pPr>
            <w:r>
              <w:t xml:space="preserve">5719</w:t>
            </w:r>
          </w:p>
        </w:tc>
      </w:tr>
      <w:tr>
        <w:tc>
          <w:tcPr/>
          <w:p>
            <w:pPr>
              <w:pStyle w:val="Compact"/>
            </w:pPr>
            <w:r>
              <w:t xml:space="preserve">Обслужено автомобилей</w:t>
            </w:r>
          </w:p>
        </w:tc>
        <w:tc>
          <w:tcPr/>
          <w:p>
            <w:pPr>
              <w:pStyle w:val="Compact"/>
            </w:pPr>
            <w:r>
              <w:t xml:space="preserve">2540</w:t>
            </w:r>
          </w:p>
        </w:tc>
        <w:tc>
          <w:tcPr/>
          <w:p>
            <w:pPr>
              <w:pStyle w:val="Compact"/>
            </w:pPr>
            <w:r>
              <w:t xml:space="preserve">2536</w:t>
            </w:r>
          </w:p>
        </w:tc>
        <w:tc>
          <w:tcPr/>
          <w:p>
            <w:pPr>
              <w:pStyle w:val="Compact"/>
            </w:pPr>
            <w:r>
              <w:t xml:space="preserve">5076</w:t>
            </w:r>
          </w:p>
        </w:tc>
        <w:tc>
          <w:tcPr/>
          <w:p>
            <w:pPr>
              <w:pStyle w:val="Compact"/>
            </w:pPr>
            <w:r>
              <w:t xml:space="preserve">5049</w:t>
            </w:r>
          </w:p>
        </w:tc>
      </w:tr>
      <w:tr>
        <w:tc>
          <w:tcPr/>
          <w:p>
            <w:pPr>
              <w:pStyle w:val="Compact"/>
            </w:pPr>
            <w:r>
              <w:t xml:space="preserve">Коэффициент загрузки</w:t>
            </w:r>
          </w:p>
        </w:tc>
        <w:tc>
          <w:tcPr/>
          <w:p>
            <w:pPr>
              <w:pStyle w:val="Compact"/>
            </w:pPr>
            <w:r>
              <w:t xml:space="preserve">0,997</w:t>
            </w:r>
          </w:p>
        </w:tc>
        <w:tc>
          <w:tcPr/>
          <w:p>
            <w:pPr>
              <w:pStyle w:val="Compact"/>
            </w:pPr>
            <w:r>
              <w:t xml:space="preserve">0,996</w:t>
            </w:r>
          </w:p>
        </w:tc>
        <w:tc>
          <w:tcPr/>
          <w:p>
            <w:pPr>
              <w:pStyle w:val="Compact"/>
            </w:pPr>
            <w:r>
              <w:t xml:space="preserve">0,9965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Максимальная длина очереди</w:t>
            </w:r>
          </w:p>
        </w:tc>
        <w:tc>
          <w:tcPr/>
          <w:p>
            <w:pPr>
              <w:pStyle w:val="Compact"/>
            </w:pPr>
            <w:r>
              <w:t xml:space="preserve">393</w:t>
            </w:r>
          </w:p>
        </w:tc>
        <w:tc>
          <w:tcPr/>
          <w:p>
            <w:pPr>
              <w:pStyle w:val="Compact"/>
            </w:pPr>
            <w:r>
              <w:t xml:space="preserve">393</w:t>
            </w:r>
          </w:p>
        </w:tc>
        <w:tc>
          <w:tcPr/>
          <w:p>
            <w:pPr>
              <w:pStyle w:val="Compact"/>
            </w:pPr>
            <w:r>
              <w:t xml:space="preserve">786</w:t>
            </w:r>
          </w:p>
        </w:tc>
        <w:tc>
          <w:tcPr/>
          <w:p>
            <w:pPr>
              <w:pStyle w:val="Compact"/>
            </w:pPr>
            <w:r>
              <w:t xml:space="preserve">668</w:t>
            </w:r>
          </w:p>
        </w:tc>
      </w:tr>
      <w:tr>
        <w:tc>
          <w:tcPr/>
          <w:p>
            <w:pPr>
              <w:pStyle w:val="Compact"/>
            </w:pPr>
            <w:r>
              <w:t xml:space="preserve">Средняя длина очереди</w:t>
            </w:r>
          </w:p>
        </w:tc>
        <w:tc>
          <w:tcPr/>
          <w:p>
            <w:pPr>
              <w:pStyle w:val="Compact"/>
            </w:pPr>
            <w:r>
              <w:t xml:space="preserve">187,098</w:t>
            </w:r>
          </w:p>
        </w:tc>
        <w:tc>
          <w:tcPr/>
          <w:p>
            <w:pPr>
              <w:pStyle w:val="Compact"/>
            </w:pPr>
            <w:r>
              <w:t xml:space="preserve">187,114</w:t>
            </w:r>
          </w:p>
        </w:tc>
        <w:tc>
          <w:tcPr/>
          <w:p>
            <w:pPr>
              <w:pStyle w:val="Compact"/>
            </w:pPr>
            <w:r>
              <w:t xml:space="preserve">374,212</w:t>
            </w:r>
          </w:p>
        </w:tc>
        <w:tc>
          <w:tcPr/>
          <w:p>
            <w:pPr>
              <w:pStyle w:val="Compact"/>
            </w:pPr>
            <w:r>
              <w:t xml:space="preserve">344,466</w:t>
            </w:r>
          </w:p>
        </w:tc>
      </w:tr>
      <w:tr>
        <w:tc>
          <w:tcPr/>
          <w:p>
            <w:pPr>
              <w:pStyle w:val="Compact"/>
            </w:pPr>
            <w:r>
              <w:t xml:space="preserve">Среднее время ожидания</w:t>
            </w:r>
          </w:p>
        </w:tc>
        <w:tc>
          <w:tcPr/>
          <w:p>
            <w:pPr>
              <w:pStyle w:val="Compact"/>
            </w:pPr>
            <w:r>
              <w:t xml:space="preserve">644,107</w:t>
            </w:r>
          </w:p>
        </w:tc>
        <w:tc>
          <w:tcPr/>
          <w:p>
            <w:pPr>
              <w:pStyle w:val="Compact"/>
            </w:pPr>
            <w:r>
              <w:t xml:space="preserve">644,823</w:t>
            </w:r>
          </w:p>
        </w:tc>
        <w:tc>
          <w:tcPr/>
          <w:p>
            <w:pPr>
              <w:pStyle w:val="Compact"/>
            </w:pPr>
            <w:r>
              <w:t xml:space="preserve">644,465</w:t>
            </w:r>
          </w:p>
        </w:tc>
        <w:tc>
          <w:tcPr/>
          <w:p>
            <w:pPr>
              <w:pStyle w:val="Compact"/>
            </w:pPr>
            <w:r>
              <w:t xml:space="preserve">607,138</w:t>
            </w:r>
          </w:p>
        </w:tc>
      </w:tr>
    </w:tbl>
    <w:p>
      <w:pPr>
        <w:pStyle w:val="BodyText"/>
      </w:pPr>
      <w:r>
        <w:t xml:space="preserve">Анализ результатов моделирования двух систем показывает, что первая модель способна обработать большее количество автомобилей. Однако стоит отметить, что во второй модели разница между числом поступивших и обслуженных машин меньше, что свидетельствует о более эффективной работе системы. Кроме того, коэффициент загрузки для второй модели достигает 1, что означает полное использование всех пропускных пунктов без простоев. Также показатели, связанные с длиной очередей и временем ожидания, во второй стратегии оказались ниже. Это позволяет считать вторую стратегию более предпочтительной.</w:t>
      </w:r>
    </w:p>
    <w:bookmarkEnd w:id="39"/>
    <w:bookmarkStart w:id="80" w:name="Xf93fd02b9c527d9f12f26d897c7ed4444cb9e0b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Оптимизация модели двух стратегий обслуживания</w:t>
      </w:r>
    </w:p>
    <w:p>
      <w:pPr>
        <w:pStyle w:val="FirstParagraph"/>
      </w:pPr>
      <w:r>
        <w:t xml:space="preserve">Изменим модели под следующие критерии:</w:t>
      </w:r>
    </w:p>
    <w:p>
      <w:pPr>
        <w:numPr>
          <w:ilvl w:val="0"/>
          <w:numId w:val="1005"/>
        </w:numPr>
      </w:pPr>
      <w:r>
        <w:t xml:space="preserve">коэффициента загрузки прпускных пунктов принадлежат интервалу [0.5; 0.95];</w:t>
      </w:r>
    </w:p>
    <w:p>
      <w:pPr>
        <w:numPr>
          <w:ilvl w:val="0"/>
          <w:numId w:val="1005"/>
        </w:numPr>
      </w:pPr>
      <w:r>
        <w:t xml:space="preserve">среднее число автомобилей, одновременно находящихся на контрольно пропускном пункте, не должно превышать 3;</w:t>
      </w:r>
    </w:p>
    <w:p>
      <w:pPr>
        <w:numPr>
          <w:ilvl w:val="0"/>
          <w:numId w:val="1005"/>
        </w:numPr>
      </w:pPr>
      <w:r>
        <w:t xml:space="preserve">среднее время ожидания обслуживания не должно превышать 4 мин.</w:t>
      </w:r>
    </w:p>
    <w:p>
      <w:pPr>
        <w:pStyle w:val="FirstParagraph"/>
      </w:pPr>
      <w:r>
        <w:t xml:space="preserve">Для обеих стратегий модель с одним пунктам будет следующей (рис. 5).</w:t>
      </w:r>
    </w:p>
    <w:bookmarkStart w:id="43" w:name="fig:005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5: Модель с одним пунктам" title="" id="41" name="Picture"/>
            <a:graphic>
              <a:graphicData uri="http://schemas.openxmlformats.org/drawingml/2006/picture">
                <pic:pic>
                  <pic:nvPicPr>
                    <pic:cNvPr descr="image/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Модель с одним пунктам</w:t>
      </w:r>
    </w:p>
    <w:bookmarkEnd w:id="43"/>
    <w:p>
      <w:pPr>
        <w:pStyle w:val="BodyText"/>
      </w:pPr>
      <w:r>
        <w:t xml:space="preserve">Отчет. Модель с одним пунктам (рис. 6).</w:t>
      </w:r>
    </w:p>
    <w:bookmarkStart w:id="47" w:name="fig:006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6: Отчет. Модель с одним пунктам" title="" id="45" name="Picture"/>
            <a:graphic>
              <a:graphicData uri="http://schemas.openxmlformats.org/drawingml/2006/picture">
                <pic:pic>
                  <pic:nvPicPr>
                    <pic:cNvPr descr="image/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Отчет. Модель с одним пунктам</w:t>
      </w:r>
    </w:p>
    <w:bookmarkEnd w:id="47"/>
    <w:p>
      <w:pPr>
        <w:pStyle w:val="BodyText"/>
      </w:pPr>
      <w:r>
        <w:t xml:space="preserve">Здесь модель не проходит ни по одному из критериев, тк коэфиициенты загрузки, размер очереди и среднее время ожидания больше.</w:t>
      </w:r>
    </w:p>
    <w:p>
      <w:pPr>
        <w:pStyle w:val="BodyText"/>
      </w:pPr>
      <w:r>
        <w:t xml:space="preserve">Модель для первой стратегии с 3 пропускными пунктами (рис. 7).</w:t>
      </w:r>
    </w:p>
    <w:bookmarkStart w:id="51" w:name="fig:007"/>
    <w:p>
      <w:pPr>
        <w:pStyle w:val="CaptionedFigure"/>
      </w:pPr>
      <w:r>
        <w:drawing>
          <wp:inline>
            <wp:extent cx="3733800" cy="1975905"/>
            <wp:effectExtent b="0" l="0" r="0" t="0"/>
            <wp:docPr descr="Рис. 7: Модель с тремя пунктами" title="" id="49" name="Picture"/>
            <a:graphic>
              <a:graphicData uri="http://schemas.openxmlformats.org/drawingml/2006/picture">
                <pic:pic>
                  <pic:nvPicPr>
                    <pic:cNvPr descr="image/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5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Модель с тремя пунктами</w:t>
      </w:r>
    </w:p>
    <w:bookmarkEnd w:id="51"/>
    <w:p>
      <w:pPr>
        <w:pStyle w:val="BodyText"/>
      </w:pPr>
      <w:r>
        <w:t xml:space="preserve">Отчет. Модель для первой стратегии с 3 пропускными пунктами (рис. 8).</w:t>
      </w:r>
    </w:p>
    <w:bookmarkStart w:id="55" w:name="fig:008"/>
    <w:p>
      <w:pPr>
        <w:pStyle w:val="CaptionedFigure"/>
      </w:pPr>
      <w:r>
        <w:drawing>
          <wp:inline>
            <wp:extent cx="3733800" cy="2207716"/>
            <wp:effectExtent b="0" l="0" r="0" t="0"/>
            <wp:docPr descr="Рис. 8: Отчет. Модель для первой стратегии с 3 пропускными пунктами" title="" id="53" name="Picture"/>
            <a:graphic>
              <a:graphicData uri="http://schemas.openxmlformats.org/drawingml/2006/picture">
                <pic:pic>
                  <pic:nvPicPr>
                    <pic:cNvPr descr="image/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7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Отчет. Модель для первой стратегии с 3 пропускными пунктами</w:t>
      </w:r>
    </w:p>
    <w:bookmarkEnd w:id="55"/>
    <w:p>
      <w:pPr>
        <w:pStyle w:val="BodyText"/>
      </w:pPr>
      <w:r>
        <w:t xml:space="preserve">Здесь сред кол-во автомобилей в очереди меньше 3 и коэффициента загрузки в нужном диапазоне. Однако сред время ожидания больше 4.</w:t>
      </w:r>
    </w:p>
    <w:p>
      <w:pPr>
        <w:pStyle w:val="BodyText"/>
      </w:pPr>
      <w:r>
        <w:t xml:space="preserve">Модель для первой стратегии с 4 пропускными пунктами (рис. 9).</w:t>
      </w:r>
    </w:p>
    <w:bookmarkStart w:id="59" w:name="fig:009"/>
    <w:p>
      <w:pPr>
        <w:pStyle w:val="CaptionedFigure"/>
      </w:pPr>
      <w:r>
        <w:drawing>
          <wp:inline>
            <wp:extent cx="3733800" cy="2227033"/>
            <wp:effectExtent b="0" l="0" r="0" t="0"/>
            <wp:docPr descr="Рис. 9: Модель с четырьмя пунктам" title="" id="57" name="Picture"/>
            <a:graphic>
              <a:graphicData uri="http://schemas.openxmlformats.org/drawingml/2006/picture">
                <pic:pic>
                  <pic:nvPicPr>
                    <pic:cNvPr descr="image/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7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Модель с четырьмя пунктам</w:t>
      </w:r>
    </w:p>
    <w:bookmarkEnd w:id="59"/>
    <w:p>
      <w:pPr>
        <w:pStyle w:val="BodyText"/>
      </w:pPr>
      <w:r>
        <w:t xml:space="preserve">Отчет. Модель для первой стратегии с 4 пропускными пунктами (рис. 10).</w:t>
      </w:r>
    </w:p>
    <w:bookmarkStart w:id="63" w:name="fig:010"/>
    <w:p>
      <w:pPr>
        <w:pStyle w:val="CaptionedFigure"/>
      </w:pPr>
      <w:r>
        <w:drawing>
          <wp:inline>
            <wp:extent cx="3733800" cy="2188398"/>
            <wp:effectExtent b="0" l="0" r="0" t="0"/>
            <wp:docPr descr="Рис. 10: Отчет. Модель с четырьмя пунктам" title="" id="61" name="Picture"/>
            <a:graphic>
              <a:graphicData uri="http://schemas.openxmlformats.org/drawingml/2006/picture">
                <pic:pic>
                  <pic:nvPicPr>
                    <pic:cNvPr descr="image/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8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Отчет. Модель с четырьмя пунктам</w:t>
      </w:r>
    </w:p>
    <w:bookmarkEnd w:id="63"/>
    <w:p>
      <w:pPr>
        <w:pStyle w:val="BodyText"/>
      </w:pPr>
      <w:r>
        <w:t xml:space="preserve">В этом случае все критерии выполнены, поэтому 4 пункта являются оптимальным количеством для первой стратегии.</w:t>
      </w:r>
    </w:p>
    <w:p>
      <w:pPr>
        <w:pStyle w:val="BodyText"/>
      </w:pPr>
      <w:r>
        <w:t xml:space="preserve">Модель для второй стратегии с 3 пропускными пунктами (рис. 11).</w:t>
      </w:r>
    </w:p>
    <w:bookmarkStart w:id="67" w:name="fig:011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11: Модель для второй стратегии с 3 пропускными пунктами" title="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Модель для второй стратегии с 3 пропускными пунктами</w:t>
      </w:r>
    </w:p>
    <w:bookmarkEnd w:id="67"/>
    <w:p>
      <w:pPr>
        <w:pStyle w:val="BodyText"/>
      </w:pPr>
      <w:r>
        <w:t xml:space="preserve">Отчет. Модель для второй стратегии с 3 пропускными пунктами (рис. 12).</w:t>
      </w:r>
    </w:p>
    <w:bookmarkStart w:id="71" w:name="fig:012"/>
    <w:p>
      <w:pPr>
        <w:pStyle w:val="CaptionedFigure"/>
      </w:pPr>
      <w:r>
        <w:drawing>
          <wp:inline>
            <wp:extent cx="3733800" cy="1904155"/>
            <wp:effectExtent b="0" l="0" r="0" t="0"/>
            <wp:docPr descr="Рис. 12: Отчет. Модель для второй стратегии с 3 пропускными пунктами" title="" id="69" name="Picture"/>
            <a:graphic>
              <a:graphicData uri="http://schemas.openxmlformats.org/drawingml/2006/picture">
                <pic:pic>
                  <pic:nvPicPr>
                    <pic:cNvPr descr="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4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Отчет. Модель для второй стратегии с 3 пропускными пунктами</w:t>
      </w:r>
    </w:p>
    <w:bookmarkEnd w:id="71"/>
    <w:p>
      <w:pPr>
        <w:pStyle w:val="BodyText"/>
      </w:pPr>
      <w:r>
        <w:t xml:space="preserve">Все критерии выполняются =&gt; модель оптимальна.</w:t>
      </w:r>
    </w:p>
    <w:p>
      <w:pPr>
        <w:pStyle w:val="BodyText"/>
      </w:pPr>
      <w:r>
        <w:t xml:space="preserve">Модель для второй стратегии с 4 пропускными пунктами (рис. 13).</w:t>
      </w:r>
    </w:p>
    <w:bookmarkStart w:id="75" w:name="fig:013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13: Модель для второй стратегии с 4 пропускными пунктами" title="" id="73" name="Picture"/>
            <a:graphic>
              <a:graphicData uri="http://schemas.openxmlformats.org/drawingml/2006/picture">
                <pic:pic>
                  <pic:nvPicPr>
                    <pic:cNvPr descr="image/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Модель для второй стратегии с 4 пропускными пунктами</w:t>
      </w:r>
    </w:p>
    <w:bookmarkEnd w:id="75"/>
    <w:p>
      <w:pPr>
        <w:pStyle w:val="BodyText"/>
      </w:pPr>
      <w:r>
        <w:t xml:space="preserve">Отчет. Модель для второй стратегии с 4 пропускными пунктами (рис. 14).</w:t>
      </w:r>
    </w:p>
    <w:bookmarkStart w:id="79" w:name="fig:014"/>
    <w:p>
      <w:pPr>
        <w:pStyle w:val="CaptionedFigure"/>
      </w:pPr>
      <w:r>
        <w:drawing>
          <wp:inline>
            <wp:extent cx="3733800" cy="2069733"/>
            <wp:effectExtent b="0" l="0" r="0" t="0"/>
            <wp:docPr descr="Рис. 14: Отчет. Модель для второй стратегии с 4 пропускными пунктами" title="" id="77" name="Picture"/>
            <a:graphic>
              <a:graphicData uri="http://schemas.openxmlformats.org/drawingml/2006/picture">
                <pic:pic>
                  <pic:nvPicPr>
                    <pic:cNvPr descr="image/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9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Отчет. Модель для второй стратегии с 4 пропускными пунктами</w:t>
      </w:r>
    </w:p>
    <w:bookmarkEnd w:id="79"/>
    <w:p>
      <w:pPr>
        <w:pStyle w:val="BodyText"/>
      </w:pPr>
      <w:r>
        <w:t xml:space="preserve">В данной ситуации все критерии соблюдены, при этом время ожидания и среднее количество автомобилей оказываются ниже, чем во втором варианте стратегии с тремя пунктами. Однако уровень загрузки также снижается, что говорит о возможной избыточности четвёртого пункта пропуска.</w:t>
      </w:r>
    </w:p>
    <w:p>
      <w:pPr>
        <w:pStyle w:val="BodyText"/>
      </w:pPr>
      <w:r>
        <w:t xml:space="preserve">Таким образом, на основе проведённого анализа можно заключить, что оптимальное количество пропускных пунктов составляет три при втором типе обслуживания и четыре при первом.</w:t>
      </w:r>
    </w:p>
    <w:bookmarkEnd w:id="80"/>
    <w:bookmarkEnd w:id="81"/>
    <w:bookmarkStart w:id="8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Реализовал с помощью gpss модель двух стратегий обслуживания и оценить оптимальные параметры.</w:t>
      </w:r>
    </w:p>
    <w:bookmarkEnd w:id="8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№16</dc:title>
  <dc:creator>Козлов Всеволод Павлович НФИбд-02-22</dc:creator>
  <dc:language>ru-RU</dc:language>
  <cp:keywords/>
  <dcterms:created xsi:type="dcterms:W3CDTF">2025-05-24T08:52:44Z</dcterms:created>
  <dcterms:modified xsi:type="dcterms:W3CDTF">2025-05-24T08:52:44Z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Arial</vt:lpwstr>
  </property>
  <property fmtid="{D5CDD505-2E9C-101B-9397-08002B2CF9AE}" pid="61" name="mainfontoptions">
    <vt:lpwstr>Ligatures=TeX</vt:lpwstr>
  </property>
  <property fmtid="{D5CDD505-2E9C-101B-9397-08002B2CF9AE}" pid="62" name="monofont">
    <vt:lpwstr>Arial</vt:lpwstr>
  </property>
  <property fmtid="{D5CDD505-2E9C-101B-9397-08002B2CF9AE}" pid="63" name="monofontoptions">
    <vt:lpwstr>Scale=MatchLowercase,Scale=0.9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Arial</vt:lpwstr>
  </property>
  <property fmtid="{D5CDD505-2E9C-101B-9397-08002B2CF9AE}" pid="74" name="romanfontoptions">
    <vt:lpwstr>Ligatures=TeX</vt:lpwstr>
  </property>
  <property fmtid="{D5CDD505-2E9C-101B-9397-08002B2CF9AE}" pid="75" name="sansfont">
    <vt:lpwstr>Arial</vt:lpwstr>
  </property>
  <property fmtid="{D5CDD505-2E9C-101B-9397-08002B2CF9AE}" pid="76" name="sansfontoptions">
    <vt:lpwstr>Ligatures=TeX,Scale=MatchLowercase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Задачи оптимизации. Модель двух стратегий обслуживания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