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6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Настройка списков управления доступом (ACL)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Требуется настроить следующие правила доступа:</w:t>
      </w:r>
    </w:p>
    <w:p>
      <w:pPr>
        <w:pStyle w:val="Compact"/>
        <w:numPr>
          <w:ilvl w:val="0"/>
          <w:numId w:val="1002"/>
        </w:numPr>
      </w:pPr>
      <w:r>
        <w:t xml:space="preserve">web-сервер: разрешить доступ всем пользователям по протоколу HTTP</w:t>
      </w:r>
      <w:r>
        <w:t xml:space="preserve"> </w:t>
      </w:r>
      <w:r>
        <w:t xml:space="preserve">через порт 80 протокола TCP, а для администратора открыть доступ</w:t>
      </w:r>
      <w:r>
        <w:t xml:space="preserve"> </w:t>
      </w:r>
      <w:r>
        <w:t xml:space="preserve">по протоколам Telnet и FTP;</w:t>
      </w:r>
    </w:p>
    <w:p>
      <w:pPr>
        <w:pStyle w:val="Compact"/>
        <w:numPr>
          <w:ilvl w:val="0"/>
          <w:numId w:val="1002"/>
        </w:numPr>
      </w:pPr>
      <w:r>
        <w:t xml:space="preserve">файловый сервер: с внутренних адресов сети доступ открыт по портам</w:t>
      </w:r>
      <w:r>
        <w:t xml:space="preserve"> </w:t>
      </w:r>
      <w:r>
        <w:t xml:space="preserve">для общедоступных каталогов, с внешних — доступ по протоколу FTP;</w:t>
      </w:r>
    </w:p>
    <w:p>
      <w:pPr>
        <w:pStyle w:val="Compact"/>
        <w:numPr>
          <w:ilvl w:val="0"/>
          <w:numId w:val="1002"/>
        </w:numPr>
      </w:pPr>
      <w:r>
        <w:t xml:space="preserve">почтовый сервер: разрешить пользователям работать по протоколам</w:t>
      </w:r>
      <w:r>
        <w:t xml:space="preserve"> </w:t>
      </w:r>
      <w:r>
        <w:t xml:space="preserve">SMTP и POP3 (соответственно через порты 25 и 110 протокола TCP),</w:t>
      </w:r>
      <w:r>
        <w:t xml:space="preserve"> </w:t>
      </w:r>
      <w:r>
        <w:t xml:space="preserve">а для администратора — открыть доступ по протоколам Telnet и FTP;</w:t>
      </w:r>
    </w:p>
    <w:p>
      <w:pPr>
        <w:pStyle w:val="Compact"/>
        <w:numPr>
          <w:ilvl w:val="0"/>
          <w:numId w:val="1002"/>
        </w:numPr>
      </w:pPr>
      <w:r>
        <w:t xml:space="preserve">DNS-сервер: открыть порт 53 протокола UDP для доступа из внутренней сети;</w:t>
      </w:r>
    </w:p>
    <w:p>
      <w:pPr>
        <w:pStyle w:val="Compact"/>
        <w:numPr>
          <w:ilvl w:val="0"/>
          <w:numId w:val="1002"/>
        </w:numPr>
      </w:pPr>
      <w:r>
        <w:t xml:space="preserve">разрешить icmp-сообщения, направленные в сеть серверов;</w:t>
      </w:r>
    </w:p>
    <w:p>
      <w:pPr>
        <w:pStyle w:val="Compact"/>
        <w:numPr>
          <w:ilvl w:val="0"/>
          <w:numId w:val="1002"/>
        </w:numPr>
      </w:pPr>
      <w:r>
        <w:t xml:space="preserve">запретить для сети Other любые запросы за пределы сети, за исключением администратора;</w:t>
      </w:r>
    </w:p>
    <w:p>
      <w:pPr>
        <w:pStyle w:val="Compact"/>
        <w:numPr>
          <w:ilvl w:val="0"/>
          <w:numId w:val="1002"/>
        </w:numPr>
      </w:pPr>
      <w:r>
        <w:t xml:space="preserve">разрешить доступ в сеть управления сетевым оборудованием только</w:t>
      </w:r>
      <w:r>
        <w:t xml:space="preserve"> </w:t>
      </w:r>
      <w:r>
        <w:t xml:space="preserve">администратору сети.</w:t>
      </w:r>
    </w:p>
    <w:p>
      <w:pPr>
        <w:pStyle w:val="Compact"/>
        <w:numPr>
          <w:ilvl w:val="0"/>
          <w:numId w:val="1003"/>
        </w:numPr>
      </w:pPr>
      <w:r>
        <w:t xml:space="preserve">Требуется проверить правильность действия установленных правил доступа.</w:t>
      </w:r>
    </w:p>
    <w:p>
      <w:pPr>
        <w:pStyle w:val="Compact"/>
        <w:numPr>
          <w:ilvl w:val="0"/>
          <w:numId w:val="1003"/>
        </w:numPr>
      </w:pPr>
      <w:r>
        <w:t xml:space="preserve">Требуется выполнить задание для самостоятельной работы по настройке</w:t>
      </w:r>
      <w:r>
        <w:t xml:space="preserve"> </w:t>
      </w:r>
      <w:r>
        <w:t xml:space="preserve">прав доступа администратора сети на Павловской.</w:t>
      </w:r>
    </w:p>
    <w:p>
      <w:pPr>
        <w:pStyle w:val="Compact"/>
        <w:numPr>
          <w:ilvl w:val="0"/>
          <w:numId w:val="1003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Подключил ноутбук администратора (рис. 1)</w:t>
      </w:r>
    </w:p>
    <w:bookmarkStart w:id="25" w:name="fig:001"/>
    <w:p>
      <w:pPr>
        <w:pStyle w:val="CaptionedFigure"/>
      </w:pPr>
      <w:r>
        <w:drawing>
          <wp:inline>
            <wp:extent cx="3733800" cy="1777746"/>
            <wp:effectExtent b="0" l="0" r="0" t="0"/>
            <wp:docPr descr="Рис. 1: Ноутбук администрато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Ноутбук администратора</w:t>
      </w:r>
    </w:p>
    <w:bookmarkEnd w:id="25"/>
    <w:p>
      <w:pPr>
        <w:pStyle w:val="BodyText"/>
      </w:pPr>
      <w:r>
        <w:t xml:space="preserve">Настроил конфигурацию ноутбука администратора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Конфигурация ноутбука администратор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ноутбука администратора</w:t>
      </w:r>
    </w:p>
    <w:bookmarkEnd w:id="29"/>
    <w:p>
      <w:pPr>
        <w:pStyle w:val="BodyText"/>
      </w:pPr>
      <w:r>
        <w:t xml:space="preserve">Проверка работоспособности соединения ноутбука admin (рис. 3)</w:t>
      </w:r>
    </w:p>
    <w:bookmarkStart w:id="33" w:name="fig:003"/>
    <w:p>
      <w:pPr>
        <w:pStyle w:val="CaptionedFigure"/>
      </w:pPr>
      <w:r>
        <w:drawing>
          <wp:inline>
            <wp:extent cx="3733800" cy="1890356"/>
            <wp:effectExtent b="0" l="0" r="0" t="0"/>
            <wp:docPr descr="Рис. 3: Проверка работоспособности соединения ноутбука admin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работоспособности соединения ноутбука admin</w:t>
      </w:r>
    </w:p>
    <w:bookmarkEnd w:id="33"/>
    <w:p>
      <w:pPr>
        <w:pStyle w:val="BodyText"/>
      </w:pPr>
      <w:r>
        <w:t xml:space="preserve">Настройка доступа к web-серверу по порту tcp 80 (рис. 4)</w:t>
      </w:r>
    </w:p>
    <w:bookmarkStart w:id="37" w:name="fig:00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4: Настройка доступа к web-серверу по порту tcp 80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доступа к web-серверу по порту tcp 80</w:t>
      </w:r>
    </w:p>
    <w:bookmarkEnd w:id="37"/>
    <w:p>
      <w:pPr>
        <w:pStyle w:val="BodyText"/>
      </w:pPr>
      <w:r>
        <w:t xml:space="preserve">Добавление списка управления доступом к интерфейсу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Добавление списка управления доступом к интерфейсу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списка управления доступом к интерфейсу</w:t>
      </w:r>
    </w:p>
    <w:bookmarkEnd w:id="41"/>
    <w:p>
      <w:pPr>
        <w:pStyle w:val="BodyText"/>
      </w:pPr>
      <w:r>
        <w:t xml:space="preserve">Проверка недоступности web-сервера через ping (рис. 6)</w:t>
      </w:r>
    </w:p>
    <w:bookmarkStart w:id="45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Недоступность web-сервера через ping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Недоступность web-сервера через ping</w:t>
      </w:r>
    </w:p>
    <w:bookmarkEnd w:id="45"/>
    <w:p>
      <w:pPr>
        <w:pStyle w:val="BodyText"/>
      </w:pPr>
      <w:r>
        <w:t xml:space="preserve">Дополнительный доступ для администратора по протоколам Telnet и FTP (рис. 7)</w:t>
      </w:r>
    </w:p>
    <w:bookmarkStart w:id="49" w:name="fig:00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7: Дополнительный доступ для администратора по протоколам Telnet и FTP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Дополнительный доступ для администратора по протоколам Telnet и FTP</w:t>
      </w:r>
    </w:p>
    <w:bookmarkEnd w:id="49"/>
    <w:p>
      <w:pPr>
        <w:pStyle w:val="BodyText"/>
      </w:pPr>
      <w:r>
        <w:t xml:space="preserve">Попытка подключения по FTP (рис. 8)</w:t>
      </w:r>
    </w:p>
    <w:bookmarkStart w:id="53" w:name="fig:008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8: Попытка подключения по FTP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подключения по FTP</w:t>
      </w:r>
    </w:p>
    <w:bookmarkEnd w:id="53"/>
    <w:p>
      <w:pPr>
        <w:pStyle w:val="BodyText"/>
      </w:pPr>
      <w:r>
        <w:t xml:space="preserve">Настройка доступа к файловому серверу (рис. 9)</w:t>
      </w:r>
    </w:p>
    <w:bookmarkStart w:id="57" w:name="fig:009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9: Настройка доступа к файловому серверу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доступа к файловому серверу</w:t>
      </w:r>
    </w:p>
    <w:bookmarkEnd w:id="57"/>
    <w:p>
      <w:pPr>
        <w:pStyle w:val="BodyText"/>
      </w:pPr>
      <w:r>
        <w:t xml:space="preserve">Настройка доступа к почтовому серверу (рис. 10)</w:t>
      </w:r>
    </w:p>
    <w:bookmarkStart w:id="61" w:name="fig:010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0: Настройка доступа к почтовому сервер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доступа к почтовому серверу</w:t>
      </w:r>
    </w:p>
    <w:bookmarkEnd w:id="61"/>
    <w:p>
      <w:pPr>
        <w:pStyle w:val="BodyText"/>
      </w:pPr>
      <w:r>
        <w:t xml:space="preserve">Настройка доступа к DNS-серверу (рис. 11)</w:t>
      </w:r>
    </w:p>
    <w:bookmarkStart w:id="65" w:name="fig:01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1: Настройка доступа к DNS-серверу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доступа к DNS-серверу</w:t>
      </w:r>
    </w:p>
    <w:bookmarkEnd w:id="65"/>
    <w:p>
      <w:pPr>
        <w:pStyle w:val="BodyText"/>
      </w:pPr>
      <w:r>
        <w:t xml:space="preserve">Проверил доступность web-сервера в браузере (рис. 12)</w:t>
      </w:r>
    </w:p>
    <w:bookmarkStart w:id="69" w:name="fig:01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2: Доступность web-сервера в браузере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Доступность web-сервера в браузере</w:t>
      </w:r>
    </w:p>
    <w:bookmarkEnd w:id="69"/>
    <w:p>
      <w:pPr>
        <w:pStyle w:val="BodyText"/>
      </w:pPr>
      <w:r>
        <w:t xml:space="preserve">Разрешение icmp-запросов (рис. 13)</w:t>
      </w:r>
    </w:p>
    <w:bookmarkStart w:id="73" w:name="fig:01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3: Разрешение icmp-запросов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Разрешение icmp-запросов</w:t>
      </w:r>
    </w:p>
    <w:bookmarkEnd w:id="73"/>
    <w:p>
      <w:pPr>
        <w:pStyle w:val="BodyText"/>
      </w:pPr>
      <w:r>
        <w:t xml:space="preserve">Посмотрел правила в списке контроля доступа (рис. 14)</w:t>
      </w:r>
    </w:p>
    <w:bookmarkStart w:id="77" w:name="fig:01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4: Правила в списке контроля доступ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Правила в списке контроля доступа</w:t>
      </w:r>
    </w:p>
    <w:bookmarkEnd w:id="77"/>
    <w:p>
      <w:pPr>
        <w:pStyle w:val="BodyText"/>
      </w:pPr>
      <w:r>
        <w:t xml:space="preserve">Проверил пингование (рис. 15)</w:t>
      </w:r>
    </w:p>
    <w:bookmarkStart w:id="81" w:name="fig:01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5: Проверка пингования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пингования</w:t>
      </w:r>
    </w:p>
    <w:bookmarkEnd w:id="81"/>
    <w:p>
      <w:pPr>
        <w:pStyle w:val="BodyText"/>
      </w:pPr>
      <w:r>
        <w:t xml:space="preserve">Настройка доступа для сети Other (рис. 16)</w:t>
      </w:r>
    </w:p>
    <w:bookmarkStart w:id="85" w:name="fig:016"/>
    <w:p>
      <w:pPr>
        <w:pStyle w:val="CaptionedFigure"/>
      </w:pPr>
      <w:r>
        <w:drawing>
          <wp:inline>
            <wp:extent cx="3733800" cy="1862760"/>
            <wp:effectExtent b="0" l="0" r="0" t="0"/>
            <wp:docPr descr="Рис. 16: Настройка доступа для сети Other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доступа для сети Other</w:t>
      </w:r>
    </w:p>
    <w:bookmarkEnd w:id="85"/>
    <w:bookmarkEnd w:id="86"/>
    <w:bookmarkStart w:id="111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Пингование с устройства dep-donskaya-vpkozlov-1 (рис. 17)</w:t>
      </w:r>
    </w:p>
    <w:bookmarkStart w:id="90" w:name="fig:017"/>
    <w:p>
      <w:pPr>
        <w:pStyle w:val="CaptionedFigure"/>
      </w:pPr>
      <w:r>
        <w:drawing>
          <wp:inline>
            <wp:extent cx="3733800" cy="2124926"/>
            <wp:effectExtent b="0" l="0" r="0" t="0"/>
            <wp:docPr descr="Рис. 17: Пингование с устройства dep-donskaya-vpkozlov-1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Пингование с устройства dep-donskaya-vpkozlov-1</w:t>
      </w:r>
    </w:p>
    <w:bookmarkEnd w:id="90"/>
    <w:p>
      <w:pPr>
        <w:pStyle w:val="BodyText"/>
      </w:pPr>
      <w:r>
        <w:t xml:space="preserve">Пингование с устройства dk-donskaya-vpkozlov-1 (рис. 18)</w:t>
      </w:r>
    </w:p>
    <w:bookmarkStart w:id="94" w:name="fig:018"/>
    <w:p>
      <w:pPr>
        <w:pStyle w:val="CaptionedFigure"/>
      </w:pPr>
      <w:r>
        <w:drawing>
          <wp:inline>
            <wp:extent cx="3733800" cy="2066974"/>
            <wp:effectExtent b="0" l="0" r="0" t="0"/>
            <wp:docPr descr="Рис. 18: Пингование с устройства dk-donskaya-vpkozlov-1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Пингование с устройства dk-donskaya-vpkozlov-1</w:t>
      </w:r>
    </w:p>
    <w:bookmarkEnd w:id="94"/>
    <w:p>
      <w:pPr>
        <w:pStyle w:val="BodyText"/>
      </w:pPr>
      <w:r>
        <w:t xml:space="preserve">Размещение ноутбука admin на Павловской (рис. 19)</w:t>
      </w:r>
    </w:p>
    <w:bookmarkStart w:id="98" w:name="fig:0181"/>
    <w:p>
      <w:pPr>
        <w:pStyle w:val="CaptionedFigure"/>
      </w:pPr>
      <w:r>
        <w:drawing>
          <wp:inline>
            <wp:extent cx="3733800" cy="1801791"/>
            <wp:effectExtent b="0" l="0" r="0" t="0"/>
            <wp:docPr descr="Рис. 19: Размещение ноутбука admin на Павловской" title="" id="96" name="Picture"/>
            <a:graphic>
              <a:graphicData uri="http://schemas.openxmlformats.org/drawingml/2006/picture">
                <pic:pic>
                  <pic:nvPicPr>
                    <pic:cNvPr descr="image/18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Размещение ноутбука admin на Павловской</w:t>
      </w:r>
    </w:p>
    <w:bookmarkEnd w:id="98"/>
    <w:p>
      <w:pPr>
        <w:pStyle w:val="BodyText"/>
      </w:pPr>
      <w:r>
        <w:t xml:space="preserve">Настройка доступа для admin-pavlovskaya (рис. 20)</w:t>
      </w:r>
    </w:p>
    <w:bookmarkStart w:id="102" w:name="fig:019"/>
    <w:p>
      <w:pPr>
        <w:pStyle w:val="CaptionedFigure"/>
      </w:pPr>
      <w:r>
        <w:drawing>
          <wp:inline>
            <wp:extent cx="3733800" cy="2204956"/>
            <wp:effectExtent b="0" l="0" r="0" t="0"/>
            <wp:docPr descr="Рис. 20: Настройка доступа для admin-pavlovskaya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Настройка доступа для admin-pavlovskaya</w:t>
      </w:r>
    </w:p>
    <w:bookmarkEnd w:id="102"/>
    <w:p>
      <w:pPr>
        <w:pStyle w:val="BodyText"/>
      </w:pPr>
      <w:r>
        <w:t xml:space="preserve">Список контроля доступа (рис. 21)</w:t>
      </w:r>
    </w:p>
    <w:bookmarkStart w:id="106" w:name="fig:020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1: Список контроля доступа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Список контроля доступа</w:t>
      </w:r>
    </w:p>
    <w:bookmarkEnd w:id="106"/>
    <w:p>
      <w:pPr>
        <w:pStyle w:val="BodyText"/>
      </w:pPr>
      <w:r>
        <w:t xml:space="preserve">Проверка корректности настроенного доступа (рис. 22)</w:t>
      </w:r>
    </w:p>
    <w:bookmarkStart w:id="110" w:name="fig:021"/>
    <w:p>
      <w:pPr>
        <w:pStyle w:val="CaptionedFigure"/>
      </w:pPr>
      <w:r>
        <w:drawing>
          <wp:inline>
            <wp:extent cx="3733800" cy="2265668"/>
            <wp:effectExtent b="0" l="0" r="0" t="0"/>
            <wp:docPr descr="Рис. 22: Проверка корректности настроенного доступа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 корректности настроенного доступа</w:t>
      </w:r>
    </w:p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настройку прав доступа пользователей к ресурсам сети</w:t>
      </w:r>
    </w:p>
    <w:bookmarkEnd w:id="112"/>
    <w:bookmarkStart w:id="11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4"/>
        </w:numPr>
      </w:pPr>
      <w:r>
        <w:t xml:space="preserve">Как задать действие правила для конкретного протокола?</w:t>
      </w:r>
    </w:p>
    <w:p>
      <w:pPr>
        <w:pStyle w:val="FirstParagraph"/>
      </w:pPr>
      <w:r>
        <w:t xml:space="preserve">Например,</w:t>
      </w:r>
      <w:r>
        <w:t xml:space="preserve"> </w:t>
      </w:r>
      <w:r>
        <w:rPr>
          <w:rStyle w:val="VerbatimChar"/>
        </w:rPr>
        <w:t xml:space="preserve">permit tcp any host 10.128.0.4 eq pop3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Как задать действие правила сразу для нескольких портов?</w:t>
      </w:r>
    </w:p>
    <w:p>
      <w:pPr>
        <w:pStyle w:val="FirstParagraph"/>
      </w:pPr>
      <w:r>
        <w:t xml:space="preserve">Для этого нужна команда</w:t>
      </w:r>
      <w:r>
        <w:t xml:space="preserve"> </w:t>
      </w:r>
      <w:r>
        <w:rPr>
          <w:rStyle w:val="VerbatimChar"/>
        </w:rPr>
        <w:t xml:space="preserve">interface range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Как узнать номер правила в списке прав доступа?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show access-lists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Каким образом можно изменить порядок применения правил в списке</w:t>
      </w:r>
      <w:r>
        <w:t xml:space="preserve"> </w:t>
      </w:r>
      <w:r>
        <w:t xml:space="preserve">контроля доступа?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access-list &lt;номер в списке&gt; permit</w:t>
      </w:r>
      <w:r>
        <w:t xml:space="preserve">.</w:t>
      </w:r>
    </w:p>
    <w:bookmarkEnd w:id="113"/>
    <w:bookmarkStart w:id="114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8"/>
        </w:numPr>
      </w:pPr>
      <w:r>
        <w:t xml:space="preserve">802.1D-2004 - IEEE Standard for Local and Metropolitan Area Networks.</w:t>
      </w:r>
      <w:r>
        <w:t xml:space="preserve"> </w:t>
      </w:r>
      <w:r>
        <w:t xml:space="preserve">Media Access Control (MAC) Bridges : тех. отч. / IEEE. — 2004. — С. 1—</w:t>
      </w:r>
    </w:p>
    <w:p>
      <w:pPr>
        <w:pStyle w:val="Compact"/>
        <w:numPr>
          <w:ilvl w:val="0"/>
          <w:numId w:val="1008"/>
        </w:numPr>
      </w:pPr>
      <w:r>
        <w:t xml:space="preserve">— DOI: 10.1109/IEEESTD.2004.94569. — URL: http://ieeexplore.</w:t>
      </w:r>
      <w:r>
        <w:t xml:space="preserve"> </w:t>
      </w:r>
      <w:r>
        <w:t xml:space="preserve">ieee.org/servlet/opac?punumber=9155.</w:t>
      </w:r>
    </w:p>
    <w:p>
      <w:pPr>
        <w:pStyle w:val="Compact"/>
        <w:numPr>
          <w:ilvl w:val="0"/>
          <w:numId w:val="1008"/>
        </w:numPr>
      </w:pPr>
      <w:r>
        <w:t xml:space="preserve">802.1Q - Virtual LANs. — URL: http://www.ieee802.org/1/pages/802.</w:t>
      </w:r>
      <w:r>
        <w:t xml:space="preserve"> </w:t>
      </w:r>
      <w:r>
        <w:t xml:space="preserve">1Q.html.</w:t>
      </w:r>
    </w:p>
    <w:p>
      <w:pPr>
        <w:pStyle w:val="Compact"/>
        <w:numPr>
          <w:ilvl w:val="0"/>
          <w:numId w:val="1008"/>
        </w:numPr>
      </w:pPr>
      <w:r>
        <w:t xml:space="preserve">A J. Packet Tracer Network Simulator. — Packt Publishing, 2014. —</w:t>
      </w:r>
      <w:r>
        <w:t xml:space="preserve"> </w:t>
      </w:r>
      <w:r>
        <w:t xml:space="preserve">ISBN 9781782170426. — URL: https://books.google.com/books?id=</w:t>
      </w:r>
      <w:r>
        <w:t xml:space="preserve"> </w:t>
      </w:r>
      <w:r>
        <w:t xml:space="preserve">eVOcAgAAQBAJ&amp;dq=cisco+packet+tracer&amp;hl=es&amp;source=gbs_navlinks_</w:t>
      </w:r>
    </w:p>
    <w:p>
      <w:pPr>
        <w:pStyle w:val="Compact"/>
        <w:numPr>
          <w:ilvl w:val="0"/>
          <w:numId w:val="1010"/>
        </w:numPr>
      </w:pPr>
      <w:r>
        <w:t xml:space="preserve">Cotton M., Vegoda L. Special Use IPv4 Addresses : RFC / RFC Editor. —</w:t>
      </w:r>
      <w:r>
        <w:t xml:space="preserve"> </w:t>
      </w:r>
      <w:r>
        <w:t xml:space="preserve">01.2010. — С. 1—11. — № 5735. — DOI: 10.17487/rfc5735. — URL: https:</w:t>
      </w:r>
      <w:r>
        <w:t xml:space="preserve"> </w:t>
      </w:r>
      <w:r>
        <w:t xml:space="preserve">//www.rfc-editor.org/info/rfc5735.</w:t>
      </w:r>
    </w:p>
    <w:p>
      <w:pPr>
        <w:pStyle w:val="Compact"/>
        <w:numPr>
          <w:ilvl w:val="0"/>
          <w:numId w:val="1010"/>
        </w:numPr>
      </w:pPr>
      <w:r>
        <w:t xml:space="preserve">Droms R. Dynamic Host Configuration Protocol : RFC / RFC Editor. —</w:t>
      </w:r>
      <w:r>
        <w:t xml:space="preserve"> </w:t>
      </w:r>
      <w:r>
        <w:t xml:space="preserve">03.1997. — С. 1—45. — № 2136. — DOI: 10.17487/rfc2131. — URL: https:</w:t>
      </w:r>
      <w:r>
        <w:t xml:space="preserve"> </w:t>
      </w:r>
      <w:r>
        <w:t xml:space="preserve">//www.ietf.org/rfc/rfc2131.txt%20https://www.rfc-editor.org/</w:t>
      </w:r>
      <w:r>
        <w:t xml:space="preserve"> </w:t>
      </w:r>
      <w:r>
        <w:t xml:space="preserve">info/rfc2131.</w:t>
      </w:r>
    </w:p>
    <w:p>
      <w:pPr>
        <w:pStyle w:val="Compact"/>
        <w:numPr>
          <w:ilvl w:val="0"/>
          <w:numId w:val="1010"/>
        </w:numPr>
      </w:pPr>
      <w:r>
        <w:t xml:space="preserve">McPherson D., Dykes B. VLAN Aggregation for Efficient IP Address</w:t>
      </w:r>
      <w:r>
        <w:t xml:space="preserve"> </w:t>
      </w:r>
      <w:r>
        <w:t xml:space="preserve">Allocation, RFC 3069. — 2001. — URL: http : / / www . ietf . org / rfc /</w:t>
      </w:r>
      <w:r>
        <w:t xml:space="preserve"> </w:t>
      </w:r>
      <w:r>
        <w:t xml:space="preserve">rfc3069.txt.</w:t>
      </w:r>
    </w:p>
    <w:p>
      <w:pPr>
        <w:pStyle w:val="Compact"/>
        <w:numPr>
          <w:ilvl w:val="0"/>
          <w:numId w:val="1010"/>
        </w:numPr>
      </w:pPr>
      <w:r>
        <w:t xml:space="preserve">Moy J. OSPF Version 2 : RFC / RFC Editor. — 1998. — С. 244. — DOI: 10.</w:t>
      </w:r>
      <w:r>
        <w:t xml:space="preserve"> </w:t>
      </w:r>
      <w:r>
        <w:t xml:space="preserve">17487/rfc2328. — URL: https://www.rfc-editor.org/info/rfc2328.</w:t>
      </w:r>
    </w:p>
    <w:p>
      <w:pPr>
        <w:pStyle w:val="Compact"/>
        <w:numPr>
          <w:ilvl w:val="0"/>
          <w:numId w:val="1010"/>
        </w:numPr>
      </w:pPr>
      <w:r>
        <w:t xml:space="preserve">NAT Order of Operation. — URL: https://www.cisco.com/c/en/us/</w:t>
      </w:r>
      <w:r>
        <w:t xml:space="preserve"> </w:t>
      </w:r>
      <w:r>
        <w:t xml:space="preserve">support/docs/ip/network-address-translation-nat/6209-5.html.</w:t>
      </w:r>
    </w:p>
    <w:p>
      <w:pPr>
        <w:pStyle w:val="Compact"/>
        <w:numPr>
          <w:ilvl w:val="0"/>
          <w:numId w:val="1010"/>
        </w:numPr>
      </w:pPr>
      <w:r>
        <w:t xml:space="preserve">NAT: вопросы и ответы / Сайт поддержки продуктов и технологий</w:t>
      </w:r>
      <w:r>
        <w:t xml:space="preserve"> </w:t>
      </w:r>
      <w:r>
        <w:t xml:space="preserve">компании Cisco. — URL: https://www.cisco.com/cisco/web/support/</w:t>
      </w:r>
      <w:r>
        <w:t xml:space="preserve"> </w:t>
      </w:r>
      <w:r>
        <w:t xml:space="preserve">RU/9/92/92029_nat-faq.html.</w:t>
      </w:r>
    </w:p>
    <w:p>
      <w:pPr>
        <w:pStyle w:val="Compact"/>
        <w:numPr>
          <w:ilvl w:val="0"/>
          <w:numId w:val="1010"/>
        </w:numPr>
      </w:pPr>
      <w:r>
        <w:t xml:space="preserve">Neumann J. C. Cisco Routers for the Small Business A Practical Guide for</w:t>
      </w:r>
      <w:r>
        <w:t xml:space="preserve"> </w:t>
      </w:r>
      <w:r>
        <w:t xml:space="preserve">IT Professionals. — Apress, 2009.</w:t>
      </w:r>
    </w:p>
    <w:bookmarkEnd w:id="1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119">
    <w:nsid w:val="0A997119"/>
    <w:multiLevelType w:val="multilevel"/>
    <w:lvl w:ilvl="0">
      <w:start w:val="19"/>
      <w:numFmt w:val="lowerLetter"/>
      <w:lvlText w:val="%1."/>
      <w:lvlJc w:val="left"/>
      <w:pPr>
        <w:ind w:left="720" w:hanging="360"/>
      </w:pPr>
    </w:lvl>
    <w:lvl w:ilvl="1">
      <w:start w:val="19"/>
      <w:numFmt w:val="lowerLetter"/>
      <w:lvlText w:val="%2."/>
      <w:lvlJc w:val="left"/>
      <w:pPr>
        <w:ind w:left="1440" w:hanging="360"/>
      </w:pPr>
    </w:lvl>
    <w:lvl w:ilvl="2">
      <w:start w:val="19"/>
      <w:numFmt w:val="lowerLetter"/>
      <w:lvlText w:val="%3."/>
      <w:lvlJc w:val="left"/>
      <w:pPr>
        <w:ind w:left="2160" w:hanging="360"/>
      </w:pPr>
    </w:lvl>
    <w:lvl w:ilvl="3">
      <w:start w:val="19"/>
      <w:numFmt w:val="lowerLetter"/>
      <w:lvlText w:val="%4."/>
      <w:lvlJc w:val="left"/>
      <w:pPr>
        <w:ind w:left="2880" w:hanging="360"/>
      </w:pPr>
    </w:lvl>
    <w:lvl w:ilvl="4">
      <w:start w:val="19"/>
      <w:numFmt w:val="lowerLetter"/>
      <w:lvlText w:val="%5."/>
      <w:lvlJc w:val="left"/>
      <w:pPr>
        <w:ind w:left="3600" w:hanging="360"/>
      </w:pPr>
    </w:lvl>
    <w:lvl w:ilvl="5">
      <w:start w:val="19"/>
      <w:numFmt w:val="lowerLetter"/>
      <w:lvlText w:val="%6."/>
      <w:lvlJc w:val="left"/>
      <w:pPr>
        <w:ind w:left="4320" w:hanging="360"/>
      </w:pPr>
    </w:lvl>
    <w:lvl w:ilvl="6">
      <w:start w:val="19"/>
      <w:numFmt w:val="lowerLetter"/>
      <w:lvlText w:val="%7."/>
      <w:lvlJc w:val="left"/>
      <w:pPr>
        <w:ind w:left="5040" w:hanging="360"/>
      </w:pPr>
    </w:lvl>
    <w:lvl w:ilvl="7">
      <w:start w:val="19"/>
      <w:numFmt w:val="lowerLetter"/>
      <w:lvlText w:val="%8."/>
      <w:lvlJc w:val="left"/>
      <w:pPr>
        <w:ind w:left="5760" w:hanging="360"/>
      </w:pPr>
    </w:lvl>
    <w:lvl w:ilvl="8">
      <w:start w:val="19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Козлов Всеволод Павлович НФИбд-02-22</dc:creator>
  <dc:language>ru-RU</dc:language>
  <cp:keywords/>
  <dcterms:created xsi:type="dcterms:W3CDTF">2025-04-19T10:26:35Z</dcterms:created>
  <dcterms:modified xsi:type="dcterms:W3CDTF">2025-04-19T10:26:35Z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Настройка списков управления доступом (ACL)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