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в CPN tools простой протокол передачи данных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простой протокол передачи данных.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и построить граф.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 декларации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bookmarkEnd w:id="25"/>
    <w:p>
      <w:pPr>
        <w:pStyle w:val="BodyText"/>
      </w:pPr>
      <w:r>
        <w:t xml:space="preserve">Построил начальный граф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bookmarkEnd w:id="29"/>
    <w:p>
      <w:pPr>
        <w:pStyle w:val="BodyText"/>
      </w:pPr>
      <w:r>
        <w:t xml:space="preserve">Добавил промежуточные состояния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ромежуточные состоя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Промежуточные состояния</w:t>
      </w:r>
    </w:p>
    <w:bookmarkEnd w:id="33"/>
    <w:p>
      <w:pPr>
        <w:pStyle w:val="BodyText"/>
      </w:pPr>
      <w:r>
        <w:t xml:space="preserve">Задал декларации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7"/>
    <w:p>
      <w:pPr>
        <w:pStyle w:val="BodyText"/>
      </w:pPr>
      <w:r>
        <w:t xml:space="preserve">Модель простого протокола передачи данных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bookmarkEnd w:id="41"/>
    <w:p>
      <w:pPr>
        <w:pStyle w:val="BodyText"/>
      </w:pPr>
      <w:r>
        <w:t xml:space="preserve">Запуск модели простого протокола передачи данных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End w:id="45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Пространство состояний для модели простого протокола передачи данных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Пространство состояний для модели простого протокола передачи данных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в CPN tools простой протокол передачи данных и провести анализ.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Козлов Всеволод Павлович НФИбд-02-22</dc:creator>
  <dc:language>ru-RU</dc:language>
  <cp:keywords/>
  <dcterms:created xsi:type="dcterms:W3CDTF">2025-04-26T13:49:05Z</dcterms:created>
  <dcterms:modified xsi:type="dcterms:W3CDTF">2025-04-26T13:49:05Z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Пример моделирования простого протокола передачи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