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Статическая маршрутизация в Интернете. Настройка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</w:t>
      </w:r>
      <w:r>
        <w:t xml:space="preserve"> </w:t>
      </w:r>
      <w:r>
        <w:t xml:space="preserve">маршрутизации локальной сети организации с сетью основного здания, расположенного в 42-м квартале в Москве, и сетью филиала, расположенного</w:t>
      </w:r>
      <w:r>
        <w:t xml:space="preserve"> </w:t>
      </w:r>
      <w:r>
        <w:t xml:space="preserve">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квартале 42 в 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филиале в г. Сочи.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на территории квартала 42 в г.</w:t>
      </w:r>
      <w:r>
        <w:t xml:space="preserve"> </w:t>
      </w:r>
      <w:r>
        <w:t xml:space="preserve">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NAT на маршрутизаторе msk-donskaya-gw-1.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интерфейсов коммутатора provider-sw-1 (рис. 1)</w:t>
      </w:r>
    </w:p>
    <w:bookmarkStart w:id="25" w:name="fig:001"/>
    <w:p>
      <w:pPr>
        <w:pStyle w:val="CaptionedFigure"/>
      </w:pPr>
      <w:r>
        <w:drawing>
          <wp:inline>
            <wp:extent cx="3733800" cy="2243591"/>
            <wp:effectExtent b="0" l="0" r="0" t="0"/>
            <wp:docPr descr="Рис. 1: Настройка интерфейсов коммутатора provider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интерфейсов коммутатора provider-sw-1</w:t>
      </w:r>
    </w:p>
    <w:bookmarkEnd w:id="25"/>
    <w:p>
      <w:pPr>
        <w:pStyle w:val="BodyText"/>
      </w:pPr>
      <w:r>
        <w:t xml:space="preserve">Настройка интерфейсов маршрутизатора msk-donskaya-gw-1 (рис. 2)</w:t>
      </w:r>
    </w:p>
    <w:bookmarkStart w:id="29" w:name="fig:002"/>
    <w:p>
      <w:pPr>
        <w:pStyle w:val="CaptionedFigure"/>
      </w:pPr>
      <w:r>
        <w:drawing>
          <wp:inline>
            <wp:extent cx="3733800" cy="1973146"/>
            <wp:effectExtent b="0" l="0" r="0" t="0"/>
            <wp:docPr descr="Рис. 2: Настройка интерфейсов маршрутизатора msk-donskaya-g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интерфейсов маршрутизатора msk-donskaya-gw-1</w:t>
      </w:r>
    </w:p>
    <w:bookmarkEnd w:id="29"/>
    <w:p>
      <w:pPr>
        <w:pStyle w:val="BodyText"/>
      </w:pPr>
      <w:r>
        <w:t xml:space="preserve">Настройка интерфейсов маршрутизатора msk-q42-gw-1 (рис. 3)</w:t>
      </w:r>
    </w:p>
    <w:bookmarkStart w:id="33" w:name="fig:003"/>
    <w:p>
      <w:pPr>
        <w:pStyle w:val="CaptionedFigure"/>
      </w:pPr>
      <w:r>
        <w:drawing>
          <wp:inline>
            <wp:extent cx="3733800" cy="2000742"/>
            <wp:effectExtent b="0" l="0" r="0" t="0"/>
            <wp:docPr descr="Рис. 3: Настройка интерфейсов маршрутизатора msk-q42-g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msk-q42-gw-1</w:t>
      </w:r>
    </w:p>
    <w:bookmarkEnd w:id="33"/>
    <w:p>
      <w:pPr>
        <w:pStyle w:val="BodyText"/>
      </w:pPr>
      <w:r>
        <w:t xml:space="preserve">Настройка интерфейсов коммутатора sch-sochi-sw-1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Настройка интерфейсов коммутатора sch-sochi-sw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sch-sochi-sw-1</w:t>
      </w:r>
    </w:p>
    <w:bookmarkEnd w:id="37"/>
    <w:p>
      <w:pPr>
        <w:pStyle w:val="BodyText"/>
      </w:pPr>
      <w:r>
        <w:t xml:space="preserve">Настройка интерфейсов маршрутизатора sch-sochi-gw-1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Настройка интерфейсов маршрутизатора sch-sochi-g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sch-sochi-gw-1</w:t>
      </w:r>
    </w:p>
    <w:bookmarkEnd w:id="41"/>
    <w:p>
      <w:pPr>
        <w:pStyle w:val="BodyText"/>
      </w:pPr>
      <w:r>
        <w:t xml:space="preserve">Настройка интерфейсов маршрутизатора msk-q42-gw-1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Настройка интерфейсов маршрутизатора msk-q42-gw-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маршрутизатора msk-q42-gw-1</w:t>
      </w:r>
    </w:p>
    <w:bookmarkEnd w:id="45"/>
    <w:p>
      <w:pPr>
        <w:pStyle w:val="BodyText"/>
      </w:pPr>
      <w:r>
        <w:t xml:space="preserve">Настройка интерфейсов коммутатора msk-q42-sw-1 (рис. 7)</w:t>
      </w:r>
    </w:p>
    <w:bookmarkStart w:id="49" w:name="fig:007"/>
    <w:p>
      <w:pPr>
        <w:pStyle w:val="CaptionedFigure"/>
      </w:pPr>
      <w:r>
        <w:drawing>
          <wp:inline>
            <wp:extent cx="3733800" cy="1851721"/>
            <wp:effectExtent b="0" l="0" r="0" t="0"/>
            <wp:docPr descr="Рис. 7: Настройка интерфейсов коммутатора msk-q42-sw-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коммутатора msk-q42-sw-1</w:t>
      </w:r>
    </w:p>
    <w:bookmarkEnd w:id="49"/>
    <w:p>
      <w:pPr>
        <w:pStyle w:val="BodyText"/>
      </w:pPr>
      <w:r>
        <w:t xml:space="preserve">Пропинговал 10.128.0.1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Пингование 10.128.0.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Пингование 10.128.0.1</w:t>
      </w:r>
    </w:p>
    <w:bookmarkEnd w:id="53"/>
    <w:p>
      <w:pPr>
        <w:pStyle w:val="BodyText"/>
      </w:pPr>
      <w:r>
        <w:t xml:space="preserve">Настройка интерфейсов маршрутизирующего коммутатора msk-hostel-gw-1 (рис. 9)</w:t>
      </w:r>
    </w:p>
    <w:bookmarkStart w:id="57" w:name="fig:009"/>
    <w:p>
      <w:pPr>
        <w:pStyle w:val="CaptionedFigure"/>
      </w:pPr>
      <w:r>
        <w:drawing>
          <wp:inline>
            <wp:extent cx="3733800" cy="2196677"/>
            <wp:effectExtent b="0" l="0" r="0" t="0"/>
            <wp:docPr descr="Рис. 9: Настройка интерфейсов маршрутизирующего коммутатора msk-hostel-gw-1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интерфейсов маршрутизирующего коммутатора msk-hostel-gw-1</w:t>
      </w:r>
    </w:p>
    <w:bookmarkEnd w:id="57"/>
    <w:p>
      <w:pPr>
        <w:pStyle w:val="BodyText"/>
      </w:pPr>
      <w:r>
        <w:t xml:space="preserve">Настройка интерфейсов коммутатора msk-hostel-sw-1 (рис. 10)</w:t>
      </w:r>
    </w:p>
    <w:bookmarkStart w:id="61" w:name="fig:010"/>
    <w:p>
      <w:pPr>
        <w:pStyle w:val="CaptionedFigure"/>
      </w:pPr>
      <w:r>
        <w:drawing>
          <wp:inline>
            <wp:extent cx="3733800" cy="1942790"/>
            <wp:effectExtent b="0" l="0" r="0" t="0"/>
            <wp:docPr descr="Рис. 10: Настройка интерфейсов коммутатора msk-hostel-sw-1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интерфейсов коммутатора msk-hostel-sw-1</w:t>
      </w:r>
    </w:p>
    <w:bookmarkEnd w:id="61"/>
    <w:p>
      <w:pPr>
        <w:pStyle w:val="BodyText"/>
      </w:pPr>
      <w:r>
        <w:t xml:space="preserve">Настройка интерфейсов маршрутизатора sch-sochi-gw-1 (рис. 11)</w:t>
      </w:r>
    </w:p>
    <w:bookmarkStart w:id="65" w:name="fig:01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1: Настройка интерфейсов маршрутизатора sch-sochi-gw-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интерфейсов маршрутизатора sch-sochi-gw-1</w:t>
      </w:r>
    </w:p>
    <w:bookmarkEnd w:id="65"/>
    <w:p>
      <w:pPr>
        <w:pStyle w:val="BodyText"/>
      </w:pPr>
      <w:r>
        <w:t xml:space="preserve">Настройка интерфейсов коммутатора sch-sochi-sw-1 (рис. 12)</w:t>
      </w:r>
    </w:p>
    <w:bookmarkStart w:id="69" w:name="fig:012"/>
    <w:p>
      <w:pPr>
        <w:pStyle w:val="CaptionedFigure"/>
      </w:pPr>
      <w:r>
        <w:drawing>
          <wp:inline>
            <wp:extent cx="3733800" cy="1909674"/>
            <wp:effectExtent b="0" l="0" r="0" t="0"/>
            <wp:docPr descr="Рис. 12: Настройка интерфейсов коммутатора sch-sochi-sw-1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интерфейсов коммутатора sch-sochi-sw-1</w:t>
      </w:r>
    </w:p>
    <w:bookmarkEnd w:id="69"/>
    <w:p>
      <w:pPr>
        <w:pStyle w:val="BodyText"/>
      </w:pPr>
      <w:r>
        <w:t xml:space="preserve">Настройка маршрутизатора msk-donskaya-gw-1 (рис. 13)</w:t>
      </w:r>
    </w:p>
    <w:bookmarkStart w:id="73" w:name="fig:01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3: Настройка маршрутизатора msk-donskaya-gw-1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маршрутизатора msk-donskaya-gw-1</w:t>
      </w:r>
    </w:p>
    <w:bookmarkEnd w:id="73"/>
    <w:p>
      <w:pPr>
        <w:pStyle w:val="BodyText"/>
      </w:pPr>
      <w:r>
        <w:t xml:space="preserve">Настройка маршрутизатора msk-q42-gw-1 (рис. 14)</w:t>
      </w:r>
    </w:p>
    <w:bookmarkStart w:id="77" w:name="fig:01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4: Настройка маршрутизатора msk-q42-gw-1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маршрутизатора msk-q42-gw-1</w:t>
      </w:r>
    </w:p>
    <w:bookmarkEnd w:id="77"/>
    <w:p>
      <w:pPr>
        <w:pStyle w:val="BodyText"/>
      </w:pPr>
      <w:r>
        <w:t xml:space="preserve">Настройка маршрутизатора sch-sochi-gw-1 (рис. 15)</w:t>
      </w:r>
    </w:p>
    <w:bookmarkStart w:id="81" w:name="fig:01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5: Настройка маршрутизатора sch-sochi-gw-1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маршрутизатора sch-sochi-gw-1</w:t>
      </w:r>
    </w:p>
    <w:bookmarkEnd w:id="81"/>
    <w:p>
      <w:pPr>
        <w:pStyle w:val="BodyText"/>
      </w:pPr>
      <w:r>
        <w:t xml:space="preserve">Настройка маршрутизатора msk-q42-gw-1 (рис. 16)</w:t>
      </w:r>
    </w:p>
    <w:bookmarkStart w:id="85" w:name="fig:01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6: Настройка маршрутизатора msk-q42-gw-1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маршрутизатора msk-q42-gw-1</w:t>
      </w:r>
    </w:p>
    <w:bookmarkEnd w:id="85"/>
    <w:p>
      <w:pPr>
        <w:pStyle w:val="BodyText"/>
      </w:pPr>
      <w:r>
        <w:t xml:space="preserve">Настройка интерфейсов маршрутизирующего коммутатора msk-hostel-gw-1 (рис. 17)</w:t>
      </w:r>
    </w:p>
    <w:bookmarkStart w:id="89" w:name="fig:01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7: Настройка интерфейсов маршрутизирующего коммутатора msk-hostel-gw-1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интерфейсов маршрутизирующего коммутатора msk-hostel-gw-1</w:t>
      </w:r>
    </w:p>
    <w:bookmarkEnd w:id="89"/>
    <w:p>
      <w:pPr>
        <w:pStyle w:val="BodyText"/>
      </w:pPr>
      <w:r>
        <w:t xml:space="preserve">Настройка NAT на маршрутизаторе msk-donskaya-gw-1 (рис. 18)</w:t>
      </w:r>
    </w:p>
    <w:bookmarkStart w:id="93" w:name="fig:01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8: Настройка NAT на маршрутизаторе msk-donskaya-gw-1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Настройка NAT на маршрутизаторе msk-donskaya-gw-1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Настроил взаимодействие через сеть провайдера посредством статической</w:t>
      </w:r>
      <w:r>
        <w:t xml:space="preserve"> </w:t>
      </w:r>
      <w:r>
        <w:t xml:space="preserve">маршрутизации локальной сети организации с сетью основного здания, расположенного в 42-м квартале в Москве, и сетью филиала, расположенного</w:t>
      </w:r>
      <w:r>
        <w:t xml:space="preserve"> </w:t>
      </w:r>
      <w:r>
        <w:t xml:space="preserve">в г. Сочи.</w:t>
      </w:r>
    </w:p>
    <w:bookmarkEnd w:id="95"/>
    <w:bookmarkStart w:id="9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Приведите пример настройки статической маршрутизации между двумя подсетями организации.</w:t>
      </w:r>
    </w:p>
    <w:p>
      <w:pPr>
        <w:pStyle w:val="FirstParagraph"/>
      </w:pPr>
      <w:r>
        <w:t xml:space="preserve">ip route 192.168.2.0 255.255.255.0 10.0.0.2</w:t>
      </w:r>
    </w:p>
    <w:p>
      <w:pPr>
        <w:pStyle w:val="BodyText"/>
      </w:pPr>
      <w:r>
        <w:t xml:space="preserve">(На Router1 для маршрута в подсеть 192.168.2.0 через интерфейс 10.0.0.2)</w:t>
      </w:r>
    </w:p>
    <w:p>
      <w:pPr>
        <w:pStyle w:val="Compact"/>
        <w:numPr>
          <w:ilvl w:val="0"/>
          <w:numId w:val="1003"/>
        </w:numPr>
      </w:pPr>
      <w:r>
        <w:t xml:space="preserve">Опишите процесс обращения устройства из одного VLAN к устройству из другого VLAN.</w:t>
      </w:r>
    </w:p>
    <w:p>
      <w:pPr>
        <w:pStyle w:val="FirstParagraph"/>
      </w:pPr>
      <w:r>
        <w:t xml:space="preserve">Через маршрутизатор или L3-коммутатор — данные идут сначала к шлюзу, он пересылает их в другую VLAN.</w:t>
      </w:r>
    </w:p>
    <w:p>
      <w:pPr>
        <w:pStyle w:val="Compact"/>
        <w:numPr>
          <w:ilvl w:val="0"/>
          <w:numId w:val="1004"/>
        </w:numPr>
      </w:pPr>
      <w:r>
        <w:t xml:space="preserve">Как проверить работоспособность маршрута?</w:t>
      </w:r>
    </w:p>
    <w:p>
      <w:pPr>
        <w:pStyle w:val="FirstParagraph"/>
      </w:pPr>
      <w:r>
        <w:t xml:space="preserve">С помощью ping и traceroute (или tracert на Windows).</w:t>
      </w:r>
    </w:p>
    <w:p>
      <w:pPr>
        <w:pStyle w:val="Compact"/>
        <w:numPr>
          <w:ilvl w:val="0"/>
          <w:numId w:val="1005"/>
        </w:numPr>
      </w:pPr>
      <w:r>
        <w:t xml:space="preserve">Как посмотреть таблицу маршрутизации?</w:t>
      </w:r>
    </w:p>
    <w:p>
      <w:pPr>
        <w:numPr>
          <w:ilvl w:val="0"/>
          <w:numId w:val="1006"/>
        </w:numPr>
      </w:pPr>
      <w:r>
        <w:t xml:space="preserve">Windows: route print</w:t>
      </w:r>
    </w:p>
    <w:p>
      <w:pPr>
        <w:numPr>
          <w:ilvl w:val="0"/>
          <w:numId w:val="1006"/>
        </w:numPr>
      </w:pPr>
      <w:r>
        <w:t xml:space="preserve">Linux: ip route</w:t>
      </w:r>
    </w:p>
    <w:p>
      <w:pPr>
        <w:numPr>
          <w:ilvl w:val="0"/>
          <w:numId w:val="1006"/>
        </w:numPr>
      </w:pPr>
      <w:r>
        <w:t xml:space="preserve">Cisco: show ip route</w:t>
      </w:r>
    </w:p>
    <w:bookmarkEnd w:id="96"/>
    <w:bookmarkStart w:id="9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7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7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7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09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09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09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09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09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09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09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9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Козлов Всеволод Павлович НФИбд-02-22</dc:creator>
  <dc:language>ru-RU</dc:language>
  <cp:keywords/>
  <dcterms:created xsi:type="dcterms:W3CDTF">2025-06-14T12:48:46Z</dcterms:created>
  <dcterms:modified xsi:type="dcterms:W3CDTF">2025-06-14T12:48:46Z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Статическая маршрутизация в Интернете. Настройка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