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Первоначальное конфигурирование сети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 (см. рис. 3.1 из раздела 3.3). Под первоначальной</w:t>
      </w:r>
      <w:r>
        <w:t xml:space="preserve"> </w:t>
      </w:r>
      <w:r>
        <w:t xml:space="preserve">настройкой понимается указание имени устройства, его IP-адреса, настройка</w:t>
      </w:r>
      <w:r>
        <w:t xml:space="preserve"> </w:t>
      </w:r>
      <w:r>
        <w:t xml:space="preserve">доступа по паролю к виртуальным терминалам и консоли, настройка удалённого доступа к устройству по ssh.</w:t>
      </w:r>
      <w:r>
        <w:t xml:space="preserve"> </w:t>
      </w:r>
      <w:r>
        <w:t xml:space="preserve">При выполнении работы необходимо учитывать соглашение об именовании</w:t>
      </w:r>
      <w:r>
        <w:t xml:space="preserve"> </w:t>
      </w:r>
      <w:r>
        <w:t xml:space="preserve">(см. раздел 2.5).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Разместил коммутаторы, серверы и оконеные устройства согласно схеме L1 (рис. 1)</w:t>
      </w:r>
    </w:p>
    <w:bookmarkStart w:id="25" w:name="fig:001"/>
    <w:p>
      <w:pPr>
        <w:pStyle w:val="CaptionedFigure"/>
      </w:pPr>
      <w:r>
        <w:drawing>
          <wp:inline>
            <wp:extent cx="3733800" cy="1713034"/>
            <wp:effectExtent b="0" l="0" r="0" t="0"/>
            <wp:docPr descr="Рис. 1: Построение топологии сети по схеме L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Построение топологии сети по схеме L1</w:t>
      </w:r>
    </w:p>
    <w:bookmarkEnd w:id="25"/>
    <w:p>
      <w:pPr>
        <w:pStyle w:val="BodyText"/>
      </w:pPr>
      <w:r>
        <w:t xml:space="preserve">Задал ip-адрес 10.128.1.2 для msk-donskaya-vpkozlov-sw-1 (рис. 2)</w:t>
      </w:r>
    </w:p>
    <w:bookmarkStart w:id="29" w:name="fig:002"/>
    <w:p>
      <w:pPr>
        <w:pStyle w:val="CaptionedFigure"/>
      </w:pPr>
      <w:r>
        <w:drawing>
          <wp:inline>
            <wp:extent cx="3733800" cy="1981425"/>
            <wp:effectExtent b="0" l="0" r="0" t="0"/>
            <wp:docPr descr="Рис. 2: Конфигурация коммутатора msk-donskaya-vpkozlov-sw-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коммутатора msk-donskaya-vpkozlov-sw-1</w:t>
      </w:r>
    </w:p>
    <w:bookmarkEnd w:id="29"/>
    <w:p>
      <w:pPr>
        <w:pStyle w:val="BodyText"/>
      </w:pPr>
      <w:r>
        <w:t xml:space="preserve">Задал ip-адрес 10.128.1.3 для msk-donskaya-vpkozlov-sw-2 (рис. 3)</w:t>
      </w:r>
    </w:p>
    <w:bookmarkStart w:id="33" w:name="fig:003"/>
    <w:p>
      <w:pPr>
        <w:pStyle w:val="CaptionedFigure"/>
      </w:pPr>
      <w:r>
        <w:drawing>
          <wp:inline>
            <wp:extent cx="3733800" cy="2174600"/>
            <wp:effectExtent b="0" l="0" r="0" t="0"/>
            <wp:docPr descr="Рис. 3: Конфигурация коммутатора msk-donskaya-vpkozlov-sw-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коммутатора msk-donskaya-vpkozlov-sw-2</w:t>
      </w:r>
    </w:p>
    <w:bookmarkEnd w:id="33"/>
    <w:p>
      <w:pPr>
        <w:pStyle w:val="BodyText"/>
      </w:pPr>
      <w:r>
        <w:t xml:space="preserve">Задал ip-адрес 10.128.1.4 для msk-donskaya-vpkozlov-sw-3 (рис. 4)</w:t>
      </w:r>
    </w:p>
    <w:bookmarkStart w:id="37" w:name="fig:004"/>
    <w:p>
      <w:pPr>
        <w:pStyle w:val="CaptionedFigure"/>
      </w:pPr>
      <w:r>
        <w:drawing>
          <wp:inline>
            <wp:extent cx="3733800" cy="1978665"/>
            <wp:effectExtent b="0" l="0" r="0" t="0"/>
            <wp:docPr descr="Рис. 4: Конфигурация коммутатора msk-donskaya-vpkozlov-sw-3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коммутатора msk-donskaya-vpkozlov-sw-3</w:t>
      </w:r>
    </w:p>
    <w:bookmarkEnd w:id="37"/>
    <w:p>
      <w:pPr>
        <w:pStyle w:val="BodyText"/>
      </w:pPr>
      <w:r>
        <w:t xml:space="preserve">Задал ip-адрес 10.128.1.5 для msk-donskaya-vpkozlov-sw-4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Конфигурация коммутатора msk-donskaya-vpkozlov-sw-4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коммутатора msk-donskaya-vpkozlov-sw-4</w:t>
      </w:r>
    </w:p>
    <w:bookmarkEnd w:id="41"/>
    <w:p>
      <w:pPr>
        <w:pStyle w:val="BodyText"/>
      </w:pPr>
      <w:r>
        <w:t xml:space="preserve">Задал ip-адрес 10.128.1.6 для msk-pavlovskaya-vpkozlov-sw-1 (рис. 6)</w:t>
      </w:r>
    </w:p>
    <w:bookmarkStart w:id="45" w:name="fig:006"/>
    <w:p>
      <w:pPr>
        <w:pStyle w:val="CaptionedFigure"/>
      </w:pPr>
      <w:r>
        <w:drawing>
          <wp:inline>
            <wp:extent cx="3733800" cy="1951069"/>
            <wp:effectExtent b="0" l="0" r="0" t="0"/>
            <wp:docPr descr="Рис. 6: Конфигурация коммутатора msk-pavlovskaya-vpkozlov-sw-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Конфигурация коммутатора msk-pavlovskaya-vpkozlov-sw-1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Провел подготовительную работу по первоначальной настройке коммутаторов сети.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При помощи каких команд можно посмотреть конфигурацию сетевого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ru</w:t>
      </w:r>
      <w:r>
        <w:br/>
      </w:r>
      <w:r>
        <w:rPr>
          <w:rStyle w:val="VerbatimChar"/>
        </w:rPr>
        <w:t xml:space="preserve">show running-config</w:t>
      </w:r>
    </w:p>
    <w:p>
      <w:pPr>
        <w:pStyle w:val="Compact"/>
        <w:numPr>
          <w:ilvl w:val="0"/>
          <w:numId w:val="1002"/>
        </w:numPr>
      </w:pPr>
      <w:r>
        <w:t xml:space="preserve">При помощи каких команд можно посмотреть стартовый конфигурационный файл оборудования?</w:t>
      </w:r>
    </w:p>
    <w:p>
      <w:pPr>
        <w:pStyle w:val="FirstParagraph"/>
      </w:pPr>
      <w:r>
        <w:t xml:space="preserve">При помощи команд:</w:t>
      </w:r>
    </w:p>
    <w:p>
      <w:pPr>
        <w:pStyle w:val="SourceCode"/>
      </w:pPr>
      <w:r>
        <w:rPr>
          <w:rStyle w:val="VerbatimChar"/>
        </w:rPr>
        <w:t xml:space="preserve">sh sta</w:t>
      </w:r>
      <w:r>
        <w:br/>
      </w:r>
      <w:r>
        <w:rPr>
          <w:rStyle w:val="VerbatimChar"/>
        </w:rPr>
        <w:t xml:space="preserve">show run</w:t>
      </w:r>
    </w:p>
    <w:p>
      <w:pPr>
        <w:pStyle w:val="Compact"/>
        <w:numPr>
          <w:ilvl w:val="0"/>
          <w:numId w:val="1003"/>
        </w:numPr>
      </w:pPr>
      <w:r>
        <w:t xml:space="preserve">При помощи каких команд можно экспортировать конфигурационный файл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Можно нажать кнопку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в окне для конфигурации устройства.</w:t>
      </w:r>
    </w:p>
    <w:p>
      <w:pPr>
        <w:pStyle w:val="Compact"/>
        <w:numPr>
          <w:ilvl w:val="0"/>
          <w:numId w:val="1004"/>
        </w:numPr>
      </w:pPr>
      <w:r>
        <w:t xml:space="preserve">При помощи каких команд можно импортировать конфигурационный файл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Можно нажать кнопку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в окне для конфигурации устройства.</w:t>
      </w:r>
    </w:p>
    <w:bookmarkEnd w:id="48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05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05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05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07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07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07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07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07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07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07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Козлов Всеволод Павлович НФИбд-02-22</dc:creator>
  <dc:language>ru-RU</dc:language>
  <cp:keywords/>
  <dcterms:created xsi:type="dcterms:W3CDTF">2025-03-08T08:10:37Z</dcterms:created>
  <dcterms:modified xsi:type="dcterms:W3CDTF">2025-03-08T08:10:37Z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Первоначальное конфигурирование сети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