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Статическая маршрутизация VLAN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в локальную сеть маршрутизатор, провести его первоначальную настройку.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VLAN.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Подсоединил к сети маршрутизатор msk-donskaya-vpkozlov-gw-1 (рис. 1)</w:t>
      </w:r>
    </w:p>
    <w:bookmarkStart w:id="25" w:name="fig:001"/>
    <w:p>
      <w:pPr>
        <w:pStyle w:val="CaptionedFigure"/>
      </w:pPr>
      <w:r>
        <w:drawing>
          <wp:inline>
            <wp:extent cx="3733800" cy="1824563"/>
            <wp:effectExtent b="0" l="0" r="0" t="0"/>
            <wp:docPr descr="Рис. 1: Подключение msk-donskaya-vpkozlov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Подключение msk-donskaya-vpkozlov-gw-1</w:t>
      </w:r>
    </w:p>
    <w:bookmarkEnd w:id="25"/>
    <w:p>
      <w:pPr>
        <w:pStyle w:val="BodyText"/>
      </w:pPr>
      <w:r>
        <w:t xml:space="preserve">Настроил интерфейс f0/24 на msk-donskaya-vpkozlov-sw-1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Интерфейс f0/24 на msk-donskaya-vpkozlov-sw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Интерфейс f0/24 на msk-donskaya-vpkozlov-sw-1</w:t>
      </w:r>
    </w:p>
    <w:bookmarkEnd w:id="29"/>
    <w:p>
      <w:pPr>
        <w:pStyle w:val="BodyText"/>
      </w:pPr>
      <w:r>
        <w:t xml:space="preserve">Настроил интерфейс f0/0 на msk-donskaya-vpkozlov-gw-1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Интерфейс f0/0 на msk-donskaya-vpkozlov-gw-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Интерфейс f0/0 на msk-donskaya-vpkozlov-gw-1</w:t>
      </w:r>
    </w:p>
    <w:bookmarkEnd w:id="33"/>
    <w:p>
      <w:pPr>
        <w:pStyle w:val="BodyText"/>
      </w:pPr>
      <w:r>
        <w:t xml:space="preserve">Произвел первичную конфигурацию маршрутизатора (рис. 4)</w:t>
      </w:r>
    </w:p>
    <w:bookmarkStart w:id="37" w:name="fig:004"/>
    <w:p>
      <w:pPr>
        <w:pStyle w:val="CaptionedFigure"/>
      </w:pPr>
      <w:r>
        <w:drawing>
          <wp:inline>
            <wp:extent cx="3733800" cy="1873799"/>
            <wp:effectExtent b="0" l="0" r="0" t="0"/>
            <wp:docPr descr="Рис. 4: Первичная конфигурация маршрутизатор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Первичная конфигурация маршрутизатора</w:t>
      </w:r>
    </w:p>
    <w:bookmarkEnd w:id="37"/>
    <w:p>
      <w:pPr>
        <w:pStyle w:val="BodyText"/>
      </w:pPr>
      <w:r>
        <w:t xml:space="preserve">Произвел конфигурацию VLAN-интерфейсов маршрутизатора, ч1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Конфигурация VLAN-интерфейсов маршрутизатор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VLAN-интерфейсов маршрутизатора</w:t>
      </w:r>
    </w:p>
    <w:bookmarkEnd w:id="41"/>
    <w:p>
      <w:pPr>
        <w:pStyle w:val="BodyText"/>
      </w:pPr>
      <w:r>
        <w:t xml:space="preserve">Произвел конфигурацию VLAN-интерфейсов маршрутизатора, ч2 (рис. 6)</w:t>
      </w:r>
    </w:p>
    <w:bookmarkStart w:id="45" w:name="fig:006"/>
    <w:p>
      <w:pPr>
        <w:pStyle w:val="CaptionedFigure"/>
      </w:pPr>
      <w:r>
        <w:drawing>
          <wp:inline>
            <wp:extent cx="3733800" cy="1940030"/>
            <wp:effectExtent b="0" l="0" r="0" t="0"/>
            <wp:docPr descr="Рис. 6: Конфигурация VLAN-интерфейсов маршрутизатор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Конфигурация VLAN-интерфейсов маршрутизатора</w:t>
      </w:r>
    </w:p>
    <w:bookmarkEnd w:id="45"/>
    <w:p>
      <w:pPr>
        <w:pStyle w:val="BodyText"/>
      </w:pPr>
      <w:r>
        <w:t xml:space="preserve">Пропинговал некоторые ip-адреса (рис. 7)</w:t>
      </w:r>
    </w:p>
    <w:bookmarkStart w:id="49" w:name="fig:007"/>
    <w:p>
      <w:pPr>
        <w:pStyle w:val="CaptionedFigure"/>
      </w:pPr>
      <w:r>
        <w:drawing>
          <wp:inline>
            <wp:extent cx="3733800" cy="2304303"/>
            <wp:effectExtent b="0" l="0" r="0" t="0"/>
            <wp:docPr descr="Рис. 7: Пингование некоторых ip-адрес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Пингование некоторых ip-адресов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Настроил статическую маршрутизацию VLAN в сети.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Охарактеризуйте стандарт IEEE 802.1Q.</w:t>
      </w:r>
    </w:p>
    <w:p>
      <w:pPr>
        <w:pStyle w:val="FirstParagraph"/>
      </w:pPr>
      <w:r>
        <w:t xml:space="preserve">IEEE 802.1Q — 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>
      <w:pPr>
        <w:pStyle w:val="BodyText"/>
      </w:pPr>
      <w:r>
        <w:t xml:space="preserve">Так как 802.1Q не изменяет заголовки кадра (фрейма), то сетевые устройства, которые не поддерживают этот стандарт, могут передавать трафик без учёта его принадлежности к VLAN. Поскольку данный стандарт является открытым, он используется для построения «транковых» портов между оборудованием различных производителей.</w:t>
      </w:r>
      <w:r>
        <w:t xml:space="preserve"> </w:t>
      </w:r>
      <w:r>
        <w:t xml:space="preserve">802.1Q помещает внутрь фрейма тег, который передает информацию о принадлежности трафика к VLAN.</w:t>
      </w:r>
    </w:p>
    <w:p>
      <w:pPr>
        <w:pStyle w:val="Compact"/>
        <w:numPr>
          <w:ilvl w:val="0"/>
          <w:numId w:val="1003"/>
        </w:numPr>
      </w:pPr>
      <w:r>
        <w:t xml:space="preserve">Опишите формат кадра IEEE 802.1Q.</w:t>
      </w:r>
    </w:p>
    <w:p>
      <w:pPr>
        <w:pStyle w:val="FirstParagraph"/>
      </w:pPr>
      <w:r>
        <w:t xml:space="preserve">Спецификация 802.1 Q определяет 12 возможных форматов инкапсуляции долнительного поля в кадры МАС-уровня. Эти форматы определяются в зависимости от трех типов кадров (Ethernet II, LLC в нормальном формате, LLC в формате Token Ring), двух типов сетей (802.3/Ethernet или Token Ring/FDDI) и двух типов меток VLAN (неявных или явных). Имеются также определенные правила трансляции исходных кадров Ethernet или Token Ring в помеченные кадры и обратной трансляции помеченных кадров в исходные.</w:t>
      </w:r>
    </w:p>
    <w:p>
      <w:pPr>
        <w:pStyle w:val="BodyText"/>
      </w:pPr>
      <w:r>
        <w:t xml:space="preserve">Поле идентификатора протокола меток (Tag Protocol Identifier,TPI) заменило поле EtherType кадра Ethernet, которое заняло место после двухбайтного поля метки VLAN.</w:t>
      </w:r>
    </w:p>
    <w:p>
      <w:pPr>
        <w:pStyle w:val="BodyText"/>
      </w:pPr>
      <w:r>
        <w:t xml:space="preserve">В поле метки VLAN имеется три подполя.</w:t>
      </w:r>
    </w:p>
    <w:p>
      <w:pPr>
        <w:pStyle w:val="BodyText"/>
      </w:pPr>
      <w:r>
        <w:t xml:space="preserve">Подполе Priority предназначено для хранения трех бит приоритета кадра, что позволяет определить до 8 уровней приоритетов. Однобитный признак TR- Encapsulation показывает, содержат ли данные, переносимые кадром, инкапсулированный кадр формата IEEE (признак равен 1) 802.5 или же они соответствуют типу внешнего кадра (признак равен 0).</w:t>
      </w:r>
    </w:p>
    <w:p>
      <w:pPr>
        <w:pStyle w:val="BodyText"/>
      </w:pPr>
      <w:r>
        <w:t xml:space="preserve">С помощью этого признака можно туннелировать трафик сетей Token Ring на коммутируемых магистралях Ethernet.</w:t>
      </w:r>
    </w:p>
    <w:p>
      <w:pPr>
        <w:pStyle w:val="BodyText"/>
      </w:pPr>
      <w:r>
        <w:t xml:space="preserve">12-битный идентификатор VLAN (VID) уникально идентифицирует VLAN, к которой относится данный кадр.</w:t>
      </w:r>
    </w:p>
    <w:p>
      <w:pPr>
        <w:pStyle w:val="BodyText"/>
      </w:pPr>
      <w:r>
        <w:t xml:space="preserve">Максимальный размер кадра Ethernet увеличивается при применении спецификации IEEE 802.1 Q не 4 байта- с 1518 байт до 1522 байт.</w:t>
      </w:r>
    </w:p>
    <w:bookmarkEnd w:id="52"/>
    <w:bookmarkStart w:id="5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04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04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04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06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06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06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06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06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06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06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Козлов Всеволод Павлович НФИбд-02-22</dc:creator>
  <dc:language>ru-RU</dc:language>
  <cp:keywords/>
  <dcterms:created xsi:type="dcterms:W3CDTF">2025-03-22T09:54:55Z</dcterms:created>
  <dcterms:modified xsi:type="dcterms:W3CDTF">2025-03-22T09:54:55Z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Статическая маршрутизация VLAN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