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15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Структуры данных</w:t>
      </w:r>
    </w:p>
    <w:p>
      <w:pPr>
        <w:pStyle w:val="Author"/>
      </w:pPr>
      <w:r>
        <w:t xml:space="preserve">Козлов Всеволод Павлович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Основная цель работы — изучить несколько структур данных, реализованных в Julia,</w:t>
      </w:r>
      <w:r>
        <w:t xml:space="preserve"> </w:t>
      </w:r>
      <w:r>
        <w:t xml:space="preserve">научиться применять их и операции над ними для решения задач.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Jupyter Lab, повторите примеры из отчета.</w:t>
      </w:r>
    </w:p>
    <w:p>
      <w:pPr>
        <w:pStyle w:val="Compact"/>
        <w:numPr>
          <w:ilvl w:val="0"/>
          <w:numId w:val="1001"/>
        </w:numPr>
      </w:pPr>
      <w:r>
        <w:t xml:space="preserve">Выполните задания для самостоятельной работы.</w:t>
      </w:r>
    </w:p>
    <w:bookmarkEnd w:id="10"/>
    <w:bookmarkStart w:id="11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Примеры кортежей (рис. 1)</w:t>
      </w:r>
    </w:p>
    <w:bookmarkStart w:id="14" w:name="fig:001"/>
    <w:p>
      <w:pPr>
        <w:pStyle w:val="CaptionedFigure"/>
      </w:pPr>
      <w:r>
        <w:drawing>
          <wp:inline>
            <wp:extent cx="3733800" cy="2636266"/>
            <wp:effectExtent b="0" l="0" r="0" t="0"/>
            <wp:docPr descr="Рис. 1: Примеры кортежей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Примеры кортежей</w:t>
      </w:r>
    </w:p>
    <w:bookmarkEnd w:id="14"/>
    <w:p>
      <w:pPr>
        <w:pStyle w:val="BodyText"/>
      </w:pPr>
      <w:r>
        <w:t xml:space="preserve">Примеры операций над кортежами (рис. 2)</w:t>
      </w:r>
    </w:p>
    <w:bookmarkStart w:id="18" w:name="fig:002"/>
    <w:p>
      <w:pPr>
        <w:pStyle w:val="CaptionedFigure"/>
      </w:pPr>
      <w:r>
        <w:drawing>
          <wp:inline>
            <wp:extent cx="3733800" cy="2570633"/>
            <wp:effectExtent b="0" l="0" r="0" t="0"/>
            <wp:docPr descr="Рис. 2: Примеры операций над кортежами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Примеры операций над кортежами</w:t>
      </w:r>
    </w:p>
    <w:bookmarkEnd w:id="18"/>
    <w:p>
      <w:pPr>
        <w:pStyle w:val="BodyText"/>
      </w:pPr>
      <w:r>
        <w:t xml:space="preserve">Словари (рис. 3)</w:t>
      </w:r>
    </w:p>
    <w:bookmarkStart w:id="22" w:name="fig:003"/>
    <w:p>
      <w:pPr>
        <w:pStyle w:val="CaptionedFigure"/>
      </w:pPr>
      <w:r>
        <w:drawing>
          <wp:inline>
            <wp:extent cx="3733800" cy="2429431"/>
            <wp:effectExtent b="0" l="0" r="0" t="0"/>
            <wp:docPr descr="Рис. 3: Словари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9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Словари</w:t>
      </w:r>
    </w:p>
    <w:bookmarkEnd w:id="22"/>
    <w:p>
      <w:pPr>
        <w:pStyle w:val="BodyText"/>
      </w:pPr>
      <w:r>
        <w:t xml:space="preserve">Словари (рис. 4)</w:t>
      </w:r>
    </w:p>
    <w:bookmarkStart w:id="26" w:name="fig:004"/>
    <w:p>
      <w:pPr>
        <w:pStyle w:val="CaptionedFigure"/>
      </w:pPr>
      <w:r>
        <w:drawing>
          <wp:inline>
            <wp:extent cx="3733800" cy="1592681"/>
            <wp:effectExtent b="0" l="0" r="0" t="0"/>
            <wp:docPr descr="Рис. 4: Словари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2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Словари</w:t>
      </w:r>
    </w:p>
    <w:bookmarkEnd w:id="26"/>
    <w:p>
      <w:pPr>
        <w:pStyle w:val="BodyText"/>
      </w:pPr>
      <w:r>
        <w:t xml:space="preserve">Примеры множеств и операций над ними (рис. 5)</w:t>
      </w:r>
    </w:p>
    <w:bookmarkStart w:id="30" w:name="fig:005"/>
    <w:p>
      <w:pPr>
        <w:pStyle w:val="CaptionedFigure"/>
      </w:pPr>
      <w:r>
        <w:drawing>
          <wp:inline>
            <wp:extent cx="3733800" cy="2607096"/>
            <wp:effectExtent b="0" l="0" r="0" t="0"/>
            <wp:docPr descr="Рис. 5: Примеры множеств и операций над ними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7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Примеры множеств и операций над ними</w:t>
      </w:r>
    </w:p>
    <w:bookmarkEnd w:id="30"/>
    <w:p>
      <w:pPr>
        <w:pStyle w:val="BodyText"/>
      </w:pPr>
      <w:r>
        <w:t xml:space="preserve">Примеры множеств и операций над ними (рис. 6)</w:t>
      </w:r>
    </w:p>
    <w:bookmarkStart w:id="34" w:name="fig:006"/>
    <w:p>
      <w:pPr>
        <w:pStyle w:val="CaptionedFigure"/>
      </w:pPr>
      <w:r>
        <w:drawing>
          <wp:inline>
            <wp:extent cx="3733800" cy="2847751"/>
            <wp:effectExtent b="0" l="0" r="0" t="0"/>
            <wp:docPr descr="Рис. 6: Примеры множеств и операций над ними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7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Примеры множеств и операций над ними</w:t>
      </w:r>
    </w:p>
    <w:bookmarkEnd w:id="34"/>
    <w:p>
      <w:pPr>
        <w:pStyle w:val="BodyText"/>
      </w:pPr>
      <w:r>
        <w:t xml:space="preserve">Примеры множеств и операций над ними (рис. 7)</w:t>
      </w:r>
    </w:p>
    <w:bookmarkStart w:id="38" w:name="fig:007"/>
    <w:p>
      <w:pPr>
        <w:pStyle w:val="CaptionedFigure"/>
      </w:pPr>
      <w:r>
        <w:drawing>
          <wp:inline>
            <wp:extent cx="3733800" cy="2760240"/>
            <wp:effectExtent b="0" l="0" r="0" t="0"/>
            <wp:docPr descr="Рис. 7: Примеры множеств и операций над ними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Примеры множеств и операций над ними</w:t>
      </w:r>
    </w:p>
    <w:bookmarkEnd w:id="38"/>
    <w:p>
      <w:pPr>
        <w:pStyle w:val="BodyText"/>
      </w:pPr>
      <w:r>
        <w:t xml:space="preserve">Примеры множеств и операций над ними (рис. 8)</w:t>
      </w:r>
    </w:p>
    <w:bookmarkStart w:id="42" w:name="fig:008"/>
    <w:p>
      <w:pPr>
        <w:pStyle w:val="CaptionedFigure"/>
      </w:pPr>
      <w:r>
        <w:drawing>
          <wp:inline>
            <wp:extent cx="3733800" cy="2322686"/>
            <wp:effectExtent b="0" l="0" r="0" t="0"/>
            <wp:docPr descr="Рис. 8: Примеры множеств и операций над ними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2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Примеры множеств и операций над ними</w:t>
      </w:r>
    </w:p>
    <w:bookmarkEnd w:id="42"/>
    <w:p>
      <w:pPr>
        <w:pStyle w:val="BodyText"/>
      </w:pPr>
      <w:r>
        <w:t xml:space="preserve">Примеры множеств и операций над ними (рис. 9)</w:t>
      </w:r>
    </w:p>
    <w:bookmarkStart w:id="46" w:name="fig:009"/>
    <w:p>
      <w:pPr>
        <w:pStyle w:val="CaptionedFigure"/>
      </w:pPr>
      <w:r>
        <w:drawing>
          <wp:inline>
            <wp:extent cx="3733800" cy="2618035"/>
            <wp:effectExtent b="0" l="0" r="0" t="0"/>
            <wp:docPr descr="Рис. 9: Примеры множеств и операций над ними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8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Примеры множеств и операций над ними</w:t>
      </w:r>
    </w:p>
    <w:bookmarkEnd w:id="46"/>
    <w:p>
      <w:pPr>
        <w:pStyle w:val="BodyText"/>
      </w:pPr>
      <w:r>
        <w:t xml:space="preserve">Операции для работы с массивами (рис. 10)</w:t>
      </w:r>
    </w:p>
    <w:bookmarkStart w:id="50" w:name="fig:010"/>
    <w:p>
      <w:pPr>
        <w:pStyle w:val="CaptionedFigure"/>
      </w:pPr>
      <w:r>
        <w:drawing>
          <wp:inline>
            <wp:extent cx="3733800" cy="2705546"/>
            <wp:effectExtent b="0" l="0" r="0" t="0"/>
            <wp:docPr descr="Рис. 10: Операции для работы с массивами" title="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5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Операции для работы с массивами</w:t>
      </w:r>
    </w:p>
    <w:bookmarkEnd w:id="50"/>
    <w:p>
      <w:pPr>
        <w:pStyle w:val="BodyText"/>
      </w:pPr>
      <w:r>
        <w:t xml:space="preserve">Операции для работы с массивами (рис. 11)</w:t>
      </w:r>
    </w:p>
    <w:bookmarkStart w:id="54" w:name="fig:011"/>
    <w:p>
      <w:pPr>
        <w:pStyle w:val="CaptionedFigure"/>
      </w:pPr>
      <w:r>
        <w:drawing>
          <wp:inline>
            <wp:extent cx="3733800" cy="2165895"/>
            <wp:effectExtent b="0" l="0" r="0" t="0"/>
            <wp:docPr descr="Рис. 11: Операции для работы с массивами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5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Операции для работы с массивами</w:t>
      </w:r>
    </w:p>
    <w:bookmarkEnd w:id="54"/>
    <w:p>
      <w:pPr>
        <w:pStyle w:val="BodyText"/>
      </w:pPr>
      <w:r>
        <w:t xml:space="preserve">Операции для работы с массивами (рис. 12)</w:t>
      </w:r>
    </w:p>
    <w:bookmarkStart w:id="58" w:name="fig:012"/>
    <w:p>
      <w:pPr>
        <w:pStyle w:val="CaptionedFigure"/>
      </w:pPr>
      <w:r>
        <w:drawing>
          <wp:inline>
            <wp:extent cx="3733800" cy="2862336"/>
            <wp:effectExtent b="0" l="0" r="0" t="0"/>
            <wp:docPr descr="Рис. 12: Операции для работы с массивами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2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Операции для работы с массивами</w:t>
      </w:r>
    </w:p>
    <w:bookmarkEnd w:id="58"/>
    <w:p>
      <w:pPr>
        <w:pStyle w:val="BodyText"/>
      </w:pPr>
      <w:r>
        <w:t xml:space="preserve">Операции для работы с массивами (рис. 13)</w:t>
      </w:r>
    </w:p>
    <w:bookmarkStart w:id="62" w:name="fig:013"/>
    <w:p>
      <w:pPr>
        <w:pStyle w:val="CaptionedFigure"/>
      </w:pPr>
      <w:r>
        <w:drawing>
          <wp:inline>
            <wp:extent cx="3733800" cy="2665437"/>
            <wp:effectExtent b="0" l="0" r="0" t="0"/>
            <wp:docPr descr="Рис. 13: Операции для работы с массивами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5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Операции для работы с массивами</w:t>
      </w:r>
    </w:p>
    <w:bookmarkEnd w:id="62"/>
    <w:p>
      <w:pPr>
        <w:pStyle w:val="BodyText"/>
      </w:pPr>
      <w:r>
        <w:t xml:space="preserve">Операции для работы с массивами (рис. 14)</w:t>
      </w:r>
    </w:p>
    <w:bookmarkStart w:id="66" w:name="fig:014"/>
    <w:p>
      <w:pPr>
        <w:pStyle w:val="CaptionedFigure"/>
      </w:pPr>
      <w:r>
        <w:drawing>
          <wp:inline>
            <wp:extent cx="3733800" cy="2636266"/>
            <wp:effectExtent b="0" l="0" r="0" t="0"/>
            <wp:docPr descr="Рис. 14: Операции для работы с массивами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Операции для работы с массивами</w:t>
      </w:r>
    </w:p>
    <w:bookmarkEnd w:id="66"/>
    <w:p>
      <w:pPr>
        <w:pStyle w:val="BodyText"/>
      </w:pPr>
      <w:r>
        <w:t xml:space="preserve">Операции для работы с массивами (рис. 15)</w:t>
      </w:r>
    </w:p>
    <w:bookmarkStart w:id="70" w:name="fig:015"/>
    <w:p>
      <w:pPr>
        <w:pStyle w:val="CaptionedFigure"/>
      </w:pPr>
      <w:r>
        <w:drawing>
          <wp:inline>
            <wp:extent cx="3733800" cy="2701900"/>
            <wp:effectExtent b="0" l="0" r="0" t="0"/>
            <wp:docPr descr="Рис. 15: Операции для работы с массивами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Операции для работы с массивами</w:t>
      </w:r>
    </w:p>
    <w:bookmarkEnd w:id="70"/>
    <w:p>
      <w:pPr>
        <w:pStyle w:val="BodyText"/>
      </w:pPr>
      <w:r>
        <w:t xml:space="preserve">Самостоятельная работа. Задание 1-2 (рис. 16)</w:t>
      </w:r>
    </w:p>
    <w:bookmarkStart w:id="74" w:name="fig:016"/>
    <w:p>
      <w:pPr>
        <w:pStyle w:val="CaptionedFigure"/>
      </w:pPr>
      <w:r>
        <w:drawing>
          <wp:inline>
            <wp:extent cx="3733800" cy="2461245"/>
            <wp:effectExtent b="0" l="0" r="0" t="0"/>
            <wp:docPr descr="Рис. 16: Самостоятельная работа. Задание 1-2" title="" id="72" name="Picture"/>
            <a:graphic>
              <a:graphicData uri="http://schemas.openxmlformats.org/drawingml/2006/picture">
                <pic:pic>
                  <pic:nvPicPr>
                    <pic:cNvPr descr="image/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1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Самостоятельная работа. Задание 1-2</w:t>
      </w:r>
    </w:p>
    <w:bookmarkEnd w:id="74"/>
    <w:p>
      <w:pPr>
        <w:pStyle w:val="BodyText"/>
      </w:pPr>
      <w:r>
        <w:t xml:space="preserve">Самостоятельная работа. Задание 3.1-3.3 (рис. 17)</w:t>
      </w:r>
    </w:p>
    <w:bookmarkStart w:id="78" w:name="fig:017"/>
    <w:p>
      <w:pPr>
        <w:pStyle w:val="CaptionedFigure"/>
      </w:pPr>
      <w:r>
        <w:drawing>
          <wp:inline>
            <wp:extent cx="3733800" cy="2340917"/>
            <wp:effectExtent b="0" l="0" r="0" t="0"/>
            <wp:docPr descr="Рис. 17: Самостоятельная работа. Задание 3.1-3.3" title="" id="76" name="Picture"/>
            <a:graphic>
              <a:graphicData uri="http://schemas.openxmlformats.org/drawingml/2006/picture">
                <pic:pic>
                  <pic:nvPicPr>
                    <pic:cNvPr descr="image/17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0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Самостоятельная работа. Задание 3.1-3.3</w:t>
      </w:r>
    </w:p>
    <w:bookmarkEnd w:id="78"/>
    <w:p>
      <w:pPr>
        <w:pStyle w:val="BodyText"/>
      </w:pPr>
      <w:r>
        <w:t xml:space="preserve">Самостоятельная работа. Задание 3.4-3.8 (рис. 18)</w:t>
      </w:r>
    </w:p>
    <w:bookmarkStart w:id="82" w:name="fig:018"/>
    <w:p>
      <w:pPr>
        <w:pStyle w:val="CaptionedFigure"/>
      </w:pPr>
      <w:r>
        <w:drawing>
          <wp:inline>
            <wp:extent cx="3733800" cy="1635918"/>
            <wp:effectExtent b="0" l="0" r="0" t="0"/>
            <wp:docPr descr="Рис. 18: Самостоятельная работа. Задание 3.4-3.8" title="" id="80" name="Picture"/>
            <a:graphic>
              <a:graphicData uri="http://schemas.openxmlformats.org/drawingml/2006/picture">
                <pic:pic>
                  <pic:nvPicPr>
                    <pic:cNvPr descr="image/18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5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Самостоятельная работа. Задание 3.4-3.8</w:t>
      </w:r>
    </w:p>
    <w:bookmarkEnd w:id="82"/>
    <w:p>
      <w:pPr>
        <w:pStyle w:val="BodyText"/>
      </w:pPr>
      <w:r>
        <w:t xml:space="preserve">Самостоятельная работа. Задание 3.9-3.11 (рис. 19)</w:t>
      </w:r>
    </w:p>
    <w:bookmarkStart w:id="86" w:name="fig:019"/>
    <w:p>
      <w:pPr>
        <w:pStyle w:val="CaptionedFigure"/>
      </w:pPr>
      <w:r>
        <w:drawing>
          <wp:inline>
            <wp:extent cx="3733800" cy="2114847"/>
            <wp:effectExtent b="0" l="0" r="0" t="0"/>
            <wp:docPr descr="Рис. 19: Самостоятельная работа. Задание 3.9-3.11" title="" id="84" name="Picture"/>
            <a:graphic>
              <a:graphicData uri="http://schemas.openxmlformats.org/drawingml/2006/picture">
                <pic:pic>
                  <pic:nvPicPr>
                    <pic:cNvPr descr="image/19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4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Самостоятельная работа. Задание 3.9-3.11</w:t>
      </w:r>
    </w:p>
    <w:bookmarkEnd w:id="86"/>
    <w:p>
      <w:pPr>
        <w:pStyle w:val="BodyText"/>
      </w:pPr>
      <w:r>
        <w:t xml:space="preserve">Самостоятельная работа. Задание 3.12-3.13 (рис. 20)</w:t>
      </w:r>
    </w:p>
    <w:bookmarkStart w:id="90" w:name="fig:020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20: Самостоятельная работа. Задание 3.12-3.13" title="" id="88" name="Picture"/>
            <a:graphic>
              <a:graphicData uri="http://schemas.openxmlformats.org/drawingml/2006/picture">
                <pic:pic>
                  <pic:nvPicPr>
                    <pic:cNvPr descr="image/20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Самостоятельная работа. Задание 3.12-3.13</w:t>
      </w:r>
    </w:p>
    <w:bookmarkEnd w:id="90"/>
    <w:p>
      <w:pPr>
        <w:pStyle w:val="BodyText"/>
      </w:pPr>
      <w:r>
        <w:t xml:space="preserve">Самостоятельная работа. Задание 3.14. Векторы целочисленного типа длины n=250 как случайные выьорки из совокупнсоти 0,..999 (рис. 21)</w:t>
      </w:r>
    </w:p>
    <w:bookmarkStart w:id="94" w:name="fig:021"/>
    <w:p>
      <w:pPr>
        <w:pStyle w:val="CaptionedFigure"/>
      </w:pPr>
      <w:r>
        <w:drawing>
          <wp:inline>
            <wp:extent cx="3733800" cy="2658144"/>
            <wp:effectExtent b="0" l="0" r="0" t="0"/>
            <wp:docPr descr="Рис. 21: Самостоятельная работа. Задание 3.14" title="" id="92" name="Picture"/>
            <a:graphic>
              <a:graphicData uri="http://schemas.openxmlformats.org/drawingml/2006/picture">
                <pic:pic>
                  <pic:nvPicPr>
                    <pic:cNvPr descr="image/2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8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Самостоятельная работа. Задание 3.14</w:t>
      </w:r>
    </w:p>
    <w:bookmarkEnd w:id="94"/>
    <w:p>
      <w:pPr>
        <w:pStyle w:val="BodyText"/>
      </w:pPr>
      <w:r>
        <w:t xml:space="preserve">Самостоятельная работа. Задание 3.14.1-3.14.5 (рис. 22)</w:t>
      </w:r>
    </w:p>
    <w:bookmarkStart w:id="98" w:name="fig:022"/>
    <w:p>
      <w:pPr>
        <w:pStyle w:val="CaptionedFigure"/>
      </w:pPr>
      <w:r>
        <w:drawing>
          <wp:inline>
            <wp:extent cx="3733800" cy="1599184"/>
            <wp:effectExtent b="0" l="0" r="0" t="0"/>
            <wp:docPr descr="Рис. 22: Самостоятельная работа. Задание 3.14.1-3.14.5" title="" id="96" name="Picture"/>
            <a:graphic>
              <a:graphicData uri="http://schemas.openxmlformats.org/drawingml/2006/picture">
                <pic:pic>
                  <pic:nvPicPr>
                    <pic:cNvPr descr="image/2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9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Самостоятельная работа. Задание 3.14.1-3.14.5</w:t>
      </w:r>
    </w:p>
    <w:bookmarkEnd w:id="98"/>
    <w:p>
      <w:pPr>
        <w:pStyle w:val="BodyText"/>
      </w:pPr>
      <w:r>
        <w:t xml:space="preserve">Самостоятельная работа. Задание 3.14.6-3.14.9 (рис. 23)</w:t>
      </w:r>
    </w:p>
    <w:bookmarkStart w:id="102" w:name="fig:023"/>
    <w:p>
      <w:pPr>
        <w:pStyle w:val="CaptionedFigure"/>
      </w:pPr>
      <w:r>
        <w:drawing>
          <wp:inline>
            <wp:extent cx="3733800" cy="1620685"/>
            <wp:effectExtent b="0" l="0" r="0" t="0"/>
            <wp:docPr descr="Рис. 23: Самостоятельная работа. Задание 3.14.6-3.14.9" title="" id="100" name="Picture"/>
            <a:graphic>
              <a:graphicData uri="http://schemas.openxmlformats.org/drawingml/2006/picture">
                <pic:pic>
                  <pic:nvPicPr>
                    <pic:cNvPr descr="image/23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0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Самостоятельная работа. Задание 3.14.6-3.14.9</w:t>
      </w:r>
    </w:p>
    <w:bookmarkEnd w:id="102"/>
    <w:p>
      <w:pPr>
        <w:pStyle w:val="BodyText"/>
      </w:pPr>
      <w:r>
        <w:t xml:space="preserve">Самостоятельная работа. Задание 3.14.10-3.14.13 (рис. 24)</w:t>
      </w:r>
    </w:p>
    <w:bookmarkStart w:id="106" w:name="fig:024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24: Самостоятельная работа. Задание 3.14.10-3.14.13" title="" id="104" name="Picture"/>
            <a:graphic>
              <a:graphicData uri="http://schemas.openxmlformats.org/drawingml/2006/picture">
                <pic:pic>
                  <pic:nvPicPr>
                    <pic:cNvPr descr="image/24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Самостоятельная работа. Задание 3.14.10-3.14.13</w:t>
      </w:r>
    </w:p>
    <w:bookmarkEnd w:id="106"/>
    <w:p>
      <w:pPr>
        <w:pStyle w:val="BodyText"/>
      </w:pPr>
      <w:r>
        <w:t xml:space="preserve">Самостоятельная работа. Задание 4-5 (рис. 25)</w:t>
      </w:r>
    </w:p>
    <w:bookmarkStart w:id="110" w:name="fig:025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25: Самостоятельная работа. Задание 4-5" title="" id="108" name="Picture"/>
            <a:graphic>
              <a:graphicData uri="http://schemas.openxmlformats.org/drawingml/2006/picture">
                <pic:pic>
                  <pic:nvPicPr>
                    <pic:cNvPr descr="image/25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Самостоятельная работа. Задание 4-5</w:t>
      </w:r>
    </w:p>
    <w:bookmarkEnd w:id="110"/>
    <w:p>
      <w:pPr>
        <w:pStyle w:val="BodyText"/>
      </w:pPr>
      <w:r>
        <w:t xml:space="preserve">Самостоятельная работа. Задание 6 (рис. 26)</w:t>
      </w:r>
    </w:p>
    <w:bookmarkStart w:id="114" w:name="fig:026"/>
    <w:p>
      <w:pPr>
        <w:pStyle w:val="CaptionedFigure"/>
      </w:pPr>
      <w:r>
        <w:drawing>
          <wp:inline>
            <wp:extent cx="3733800" cy="2727424"/>
            <wp:effectExtent b="0" l="0" r="0" t="0"/>
            <wp:docPr descr="Рис. 26: Самостоятельная работа. Задание 6" title="" id="112" name="Picture"/>
            <a:graphic>
              <a:graphicData uri="http://schemas.openxmlformats.org/drawingml/2006/picture">
                <pic:pic>
                  <pic:nvPicPr>
                    <pic:cNvPr descr="image/26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7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Самостоятельная работа. Задание 6</w:t>
      </w:r>
    </w:p>
    <w:bookmarkEnd w:id="114"/>
    <w:bookmarkEnd w:id="115"/>
    <w:bookmarkStart w:id="11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 несколько структур данных, реализованных в Julia,</w:t>
      </w:r>
      <w:r>
        <w:t xml:space="preserve"> </w:t>
      </w:r>
      <w:r>
        <w:t xml:space="preserve">научился применять их и операции над ними для решения задач.</w:t>
      </w:r>
    </w:p>
    <w:bookmarkEnd w:id="116"/>
    <w:bookmarkStart w:id="117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Julia 1.5 Documentation. — 2020. — URL: https://docs.julialang.org/en/v1/.</w:t>
      </w:r>
    </w:p>
    <w:p>
      <w:pPr>
        <w:pStyle w:val="Compact"/>
        <w:numPr>
          <w:ilvl w:val="0"/>
          <w:numId w:val="1002"/>
        </w:numPr>
      </w:pPr>
      <w:r>
        <w:t xml:space="preserve">Klok H.,Nazarathy Y. Statistics with Julia: Fundamentals for Data Science,Machine Learning</w:t>
      </w:r>
      <w:r>
        <w:t xml:space="preserve"> </w:t>
      </w:r>
      <w:r>
        <w:t xml:space="preserve">and Artificial Intelligence. — 2020. — URL: https://statisticswithjulia.org/.</w:t>
      </w:r>
    </w:p>
    <w:p>
      <w:pPr>
        <w:pStyle w:val="Compact"/>
        <w:numPr>
          <w:ilvl w:val="0"/>
          <w:numId w:val="1002"/>
        </w:numPr>
      </w:pPr>
      <w:r>
        <w:t xml:space="preserve">Ökten G. First Semester in Numerical Analysis with Julia. — Florida State University, 2019. —</w:t>
      </w:r>
      <w:r>
        <w:t xml:space="preserve"> </w:t>
      </w:r>
      <w:r>
        <w:t xml:space="preserve">DOI: 10.33009/jul.</w:t>
      </w:r>
    </w:p>
    <w:p>
      <w:pPr>
        <w:pStyle w:val="Compact"/>
        <w:numPr>
          <w:ilvl w:val="0"/>
          <w:numId w:val="1002"/>
        </w:numPr>
      </w:pPr>
      <w:r>
        <w:t xml:space="preserve">Антонюк В. А. Язык Julia как инструмент исследователя. — М. : Физический факультет</w:t>
      </w:r>
      <w:r>
        <w:t xml:space="preserve"> </w:t>
      </w:r>
      <w:r>
        <w:t xml:space="preserve">МГУ им. М. В. Ломоносова, 2019.</w:t>
      </w:r>
    </w:p>
    <w:p>
      <w:pPr>
        <w:pStyle w:val="Compact"/>
        <w:numPr>
          <w:ilvl w:val="0"/>
          <w:numId w:val="1002"/>
        </w:numPr>
      </w:pPr>
      <w:r>
        <w:t xml:space="preserve">Шиндин А. В. Язык программирования математических вычислений Julia. Базовое</w:t>
      </w:r>
      <w:r>
        <w:t xml:space="preserve"> </w:t>
      </w:r>
      <w:r>
        <w:t xml:space="preserve">руководство. — Нижний Новгород : Нижегородский госуниверситет, 2016.</w:t>
      </w:r>
    </w:p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15" Target="media/rId15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Козлов Всеволод Павлович НФИбд-02-22</dc:creator>
  <dc:language>ru-RU</dc:language>
  <cp:keywords/>
  <dcterms:created xsi:type="dcterms:W3CDTF">2025-09-27T16:27:36Z</dcterms:created>
  <dcterms:modified xsi:type="dcterms:W3CDTF">2025-09-27T16:27:36Z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Arial</vt:lpwstr>
  </property>
  <property fmtid="{D5CDD505-2E9C-101B-9397-08002B2CF9AE}" pid="62" name="mainfontoptions">
    <vt:lpwstr>Ligatures=TeX</vt:lpwstr>
  </property>
  <property fmtid="{D5CDD505-2E9C-101B-9397-08002B2CF9AE}" pid="63" name="monofont">
    <vt:lpwstr>Arial</vt:lpwstr>
  </property>
  <property fmtid="{D5CDD505-2E9C-101B-9397-08002B2CF9AE}" pid="64" name="monofontoptions">
    <vt:lpwstr>Scale=MatchLowercase,Scale=0.9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Arial</vt:lpwstr>
  </property>
  <property fmtid="{D5CDD505-2E9C-101B-9397-08002B2CF9AE}" pid="75" name="romanfontoptions">
    <vt:lpwstr>Ligatures=TeX</vt:lpwstr>
  </property>
  <property fmtid="{D5CDD505-2E9C-101B-9397-08002B2CF9AE}" pid="76" name="sansfont">
    <vt:lpwstr>Arial</vt:lpwstr>
  </property>
  <property fmtid="{D5CDD505-2E9C-101B-9397-08002B2CF9AE}" pid="77" name="sansfontoptions">
    <vt:lpwstr>Ligatures=TeX,Scale=MatchLowercase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Структуры данных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