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5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Управляющие структуры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отчета.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10"/>
    <w:bookmarkStart w:id="11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Цикл while (рис. 1)</w:t>
      </w:r>
    </w:p>
    <w:bookmarkStart w:id="14" w:name="fig:001"/>
    <w:p>
      <w:pPr>
        <w:pStyle w:val="CaptionedFigure"/>
      </w:pPr>
      <w:r>
        <w:drawing>
          <wp:inline>
            <wp:extent cx="3733800" cy="2782118"/>
            <wp:effectExtent b="0" l="0" r="0" t="0"/>
            <wp:docPr descr="Рис. 1: Цикл while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Цикл while</w:t>
      </w:r>
    </w:p>
    <w:bookmarkEnd w:id="14"/>
    <w:p>
      <w:pPr>
        <w:pStyle w:val="BodyText"/>
      </w:pPr>
      <w:r>
        <w:t xml:space="preserve">Цикл for (рис. 2)</w:t>
      </w:r>
    </w:p>
    <w:bookmarkStart w:id="18" w:name="fig:002"/>
    <w:p>
      <w:pPr>
        <w:pStyle w:val="CaptionedFigure"/>
      </w:pPr>
      <w:r>
        <w:drawing>
          <wp:inline>
            <wp:extent cx="3733800" cy="2111201"/>
            <wp:effectExtent b="0" l="0" r="0" t="0"/>
            <wp:docPr descr="Рис. 2: Цикл for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Цикл for</w:t>
      </w:r>
    </w:p>
    <w:bookmarkEnd w:id="18"/>
    <w:p>
      <w:pPr>
        <w:pStyle w:val="BodyText"/>
      </w:pPr>
      <w:r>
        <w:t xml:space="preserve">Массивы (рис. 3)</w:t>
      </w:r>
    </w:p>
    <w:bookmarkStart w:id="22" w:name="fig:003"/>
    <w:p>
      <w:pPr>
        <w:pStyle w:val="CaptionedFigure"/>
      </w:pPr>
      <w:r>
        <w:drawing>
          <wp:inline>
            <wp:extent cx="3733800" cy="2497708"/>
            <wp:effectExtent b="0" l="0" r="0" t="0"/>
            <wp:docPr descr="Рис. 3: Массивы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Массивы</w:t>
      </w:r>
    </w:p>
    <w:bookmarkEnd w:id="22"/>
    <w:p>
      <w:pPr>
        <w:pStyle w:val="BodyText"/>
      </w:pPr>
      <w:r>
        <w:t xml:space="preserve">Массивы (рис. 4)</w:t>
      </w:r>
    </w:p>
    <w:bookmarkStart w:id="26" w:name="fig:004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4: Массивы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Массивы</w:t>
      </w:r>
    </w:p>
    <w:bookmarkEnd w:id="26"/>
    <w:p>
      <w:pPr>
        <w:pStyle w:val="BodyText"/>
      </w:pPr>
      <w:r>
        <w:t xml:space="preserve">Условное выражение (рис. 5)</w:t>
      </w:r>
    </w:p>
    <w:bookmarkStart w:id="30" w:name="fig:005"/>
    <w:p>
      <w:pPr>
        <w:pStyle w:val="CaptionedFigure"/>
      </w:pPr>
      <w:r>
        <w:drawing>
          <wp:inline>
            <wp:extent cx="3733800" cy="2231528"/>
            <wp:effectExtent b="0" l="0" r="0" t="0"/>
            <wp:docPr descr="Рис. 5: Условное выражение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Условное выражение</w:t>
      </w:r>
    </w:p>
    <w:bookmarkEnd w:id="30"/>
    <w:p>
      <w:pPr>
        <w:pStyle w:val="BodyText"/>
      </w:pPr>
      <w:r>
        <w:t xml:space="preserve">Условное выражение (рис. 6)</w:t>
      </w:r>
    </w:p>
    <w:bookmarkStart w:id="34" w:name="fig:006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6: Условное выражение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Условное выражение</w:t>
      </w:r>
    </w:p>
    <w:bookmarkEnd w:id="34"/>
    <w:p>
      <w:pPr>
        <w:pStyle w:val="BodyText"/>
      </w:pPr>
      <w:r>
        <w:t xml:space="preserve">Функции примеры (рис. 7)</w:t>
      </w:r>
    </w:p>
    <w:bookmarkStart w:id="38" w:name="fig:007"/>
    <w:p>
      <w:pPr>
        <w:pStyle w:val="CaptionedFigure"/>
      </w:pPr>
      <w:r>
        <w:drawing>
          <wp:inline>
            <wp:extent cx="3733800" cy="2720131"/>
            <wp:effectExtent b="0" l="0" r="0" t="0"/>
            <wp:docPr descr="Рис. 7: Функции примеры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Функции примеры</w:t>
      </w:r>
    </w:p>
    <w:bookmarkEnd w:id="38"/>
    <w:p>
      <w:pPr>
        <w:pStyle w:val="BodyText"/>
      </w:pPr>
      <w:r>
        <w:t xml:space="preserve">Функции примеры (рис. 8)</w:t>
      </w:r>
    </w:p>
    <w:bookmarkStart w:id="42" w:name="fig:008"/>
    <w:p>
      <w:pPr>
        <w:pStyle w:val="CaptionedFigure"/>
      </w:pPr>
      <w:r>
        <w:drawing>
          <wp:inline>
            <wp:extent cx="3733800" cy="2796703"/>
            <wp:effectExtent b="0" l="0" r="0" t="0"/>
            <wp:docPr descr="Рис. 8: Функции примеры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Функции примеры</w:t>
      </w:r>
    </w:p>
    <w:bookmarkEnd w:id="42"/>
    <w:p>
      <w:pPr>
        <w:pStyle w:val="BodyText"/>
      </w:pPr>
      <w:r>
        <w:t xml:space="preserve">Функции примеры (рис. 9)</w:t>
      </w:r>
    </w:p>
    <w:bookmarkStart w:id="46" w:name="fig:009"/>
    <w:p>
      <w:pPr>
        <w:pStyle w:val="CaptionedFigure"/>
      </w:pPr>
      <w:r>
        <w:drawing>
          <wp:inline>
            <wp:extent cx="3733800" cy="2213297"/>
            <wp:effectExtent b="0" l="0" r="0" t="0"/>
            <wp:docPr descr="Рис. 9: Функции примеры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Функции примеры</w:t>
      </w:r>
    </w:p>
    <w:bookmarkEnd w:id="46"/>
    <w:p>
      <w:pPr>
        <w:pStyle w:val="BodyText"/>
      </w:pPr>
      <w:r>
        <w:t xml:space="preserve">Функции примеры (рис. 10)</w:t>
      </w:r>
    </w:p>
    <w:bookmarkStart w:id="50" w:name="fig:010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0: Функции примеры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Функции примеры</w:t>
      </w:r>
    </w:p>
    <w:bookmarkEnd w:id="50"/>
    <w:p>
      <w:pPr>
        <w:pStyle w:val="BodyText"/>
      </w:pPr>
      <w:r>
        <w:t xml:space="preserve">Функции примеры (рис. 11)</w:t>
      </w:r>
    </w:p>
    <w:bookmarkStart w:id="54" w:name="fig:011"/>
    <w:p>
      <w:pPr>
        <w:pStyle w:val="CaptionedFigure"/>
      </w:pPr>
      <w:r>
        <w:drawing>
          <wp:inline>
            <wp:extent cx="3733800" cy="2227882"/>
            <wp:effectExtent b="0" l="0" r="0" t="0"/>
            <wp:docPr descr="Рис. 11: Функции примеры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Функции примеры</w:t>
      </w:r>
    </w:p>
    <w:bookmarkEnd w:id="54"/>
    <w:p>
      <w:pPr>
        <w:pStyle w:val="BodyText"/>
      </w:pPr>
      <w:r>
        <w:t xml:space="preserve">Сторонние библиотеки (рис. 12)</w:t>
      </w:r>
    </w:p>
    <w:bookmarkStart w:id="58" w:name="fig:012"/>
    <w:p>
      <w:pPr>
        <w:pStyle w:val="CaptionedFigure"/>
      </w:pPr>
      <w:r>
        <w:drawing>
          <wp:inline>
            <wp:extent cx="3733800" cy="2844105"/>
            <wp:effectExtent b="0" l="0" r="0" t="0"/>
            <wp:docPr descr="Рис. 12: Сторонние библиотек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Сторонние библиотеки</w:t>
      </w:r>
    </w:p>
    <w:bookmarkEnd w:id="58"/>
    <w:p>
      <w:pPr>
        <w:pStyle w:val="BodyText"/>
      </w:pPr>
      <w:r>
        <w:t xml:space="preserve">Самостоятельная работа. Задание 1 (рис. 13)</w:t>
      </w:r>
    </w:p>
    <w:bookmarkStart w:id="62" w:name="fig:013"/>
    <w:p>
      <w:pPr>
        <w:pStyle w:val="CaptionedFigure"/>
      </w:pPr>
      <w:r>
        <w:drawing>
          <wp:inline>
            <wp:extent cx="3733800" cy="2472183"/>
            <wp:effectExtent b="0" l="0" r="0" t="0"/>
            <wp:docPr descr="Рис. 13: Самостоятельная работа. Задание 1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Самостоятельная работа. Задание 1</w:t>
      </w:r>
    </w:p>
    <w:bookmarkEnd w:id="62"/>
    <w:p>
      <w:pPr>
        <w:pStyle w:val="BodyText"/>
      </w:pPr>
      <w:r>
        <w:t xml:space="preserve">Самостоятельная работа. Задание 1 (рис. 14)</w:t>
      </w:r>
    </w:p>
    <w:bookmarkStart w:id="66" w:name="fig:014"/>
    <w:p>
      <w:pPr>
        <w:pStyle w:val="CaptionedFigure"/>
      </w:pPr>
      <w:r>
        <w:drawing>
          <wp:inline>
            <wp:extent cx="3733800" cy="1640999"/>
            <wp:effectExtent b="0" l="0" r="0" t="0"/>
            <wp:docPr descr="Рис. 14: Самостоятельная работа. Задание 1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Самостоятельная работа. Задание 1</w:t>
      </w:r>
    </w:p>
    <w:bookmarkEnd w:id="66"/>
    <w:p>
      <w:pPr>
        <w:pStyle w:val="BodyText"/>
      </w:pPr>
      <w:r>
        <w:t xml:space="preserve">Самостоятельная работа. Задание 2 (рис. 15)</w:t>
      </w:r>
    </w:p>
    <w:bookmarkStart w:id="70" w:name="fig:015"/>
    <w:p>
      <w:pPr>
        <w:pStyle w:val="CaptionedFigure"/>
      </w:pPr>
      <w:r>
        <w:drawing>
          <wp:inline>
            <wp:extent cx="3733800" cy="2727424"/>
            <wp:effectExtent b="0" l="0" r="0" t="0"/>
            <wp:docPr descr="Рис. 15: Самостоятельная работа. Задание 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Самостоятельная работа. Задание 2</w:t>
      </w:r>
    </w:p>
    <w:bookmarkEnd w:id="70"/>
    <w:p>
      <w:pPr>
        <w:pStyle w:val="BodyText"/>
      </w:pPr>
      <w:r>
        <w:t xml:space="preserve">Самостоятельная работа. Задание 3-4 (рис. 16)</w:t>
      </w:r>
    </w:p>
    <w:bookmarkStart w:id="74" w:name="fig:016"/>
    <w:p>
      <w:pPr>
        <w:pStyle w:val="CaptionedFigure"/>
      </w:pPr>
      <w:r>
        <w:drawing>
          <wp:inline>
            <wp:extent cx="3733800" cy="2807642"/>
            <wp:effectExtent b="0" l="0" r="0" t="0"/>
            <wp:docPr descr="Рис. 16: Самостоятельная работа. Задание 3-4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Самостоятельная работа. Задание 3-4</w:t>
      </w:r>
    </w:p>
    <w:bookmarkEnd w:id="74"/>
    <w:p>
      <w:pPr>
        <w:pStyle w:val="BodyText"/>
      </w:pPr>
      <w:r>
        <w:t xml:space="preserve">Самостоятельная работа. Задание 5 (рис. 17)</w:t>
      </w:r>
    </w:p>
    <w:bookmarkStart w:id="78" w:name="fig:017"/>
    <w:p>
      <w:pPr>
        <w:pStyle w:val="CaptionedFigure"/>
      </w:pPr>
      <w:r>
        <w:drawing>
          <wp:inline>
            <wp:extent cx="3733800" cy="2523232"/>
            <wp:effectExtent b="0" l="0" r="0" t="0"/>
            <wp:docPr descr="Рис. 17: Самостоятельная работа. Задание 5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Самостоятельная работа. Задание 5</w:t>
      </w:r>
    </w:p>
    <w:bookmarkEnd w:id="78"/>
    <w:p>
      <w:pPr>
        <w:pStyle w:val="BodyText"/>
      </w:pPr>
      <w:r>
        <w:t xml:space="preserve">Самостоятельная работа. Задание 6 (рис. 18)</w:t>
      </w:r>
    </w:p>
    <w:bookmarkStart w:id="82" w:name="fig:018"/>
    <w:p>
      <w:pPr>
        <w:pStyle w:val="CaptionedFigure"/>
      </w:pPr>
      <w:r>
        <w:drawing>
          <wp:inline>
            <wp:extent cx="3733800" cy="1497396"/>
            <wp:effectExtent b="0" l="0" r="0" t="0"/>
            <wp:docPr descr="Рис. 18: Самостоятельная работа. Задание 6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Самостоятельная работа. Задание 6</w:t>
      </w:r>
    </w:p>
    <w:bookmarkEnd w:id="82"/>
    <w:p>
      <w:pPr>
        <w:pStyle w:val="BodyText"/>
      </w:pPr>
      <w:r>
        <w:t xml:space="preserve">Самостоятельная работа. Задание 7 (рис. 19)</w:t>
      </w:r>
    </w:p>
    <w:bookmarkStart w:id="86" w:name="fig:019"/>
    <w:p>
      <w:pPr>
        <w:pStyle w:val="CaptionedFigure"/>
      </w:pPr>
      <w:r>
        <w:drawing>
          <wp:inline>
            <wp:extent cx="3733800" cy="2224236"/>
            <wp:effectExtent b="0" l="0" r="0" t="0"/>
            <wp:docPr descr="Рис. 19: Самостоятельная работа. Задание 7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Самостоятельная работа. Задание 7</w:t>
      </w:r>
    </w:p>
    <w:bookmarkEnd w:id="86"/>
    <w:p>
      <w:pPr>
        <w:pStyle w:val="BodyText"/>
      </w:pPr>
      <w:r>
        <w:t xml:space="preserve">Самостоятельная работа. Задание 7 (рис. 20)</w:t>
      </w:r>
    </w:p>
    <w:bookmarkStart w:id="90" w:name="fig:020"/>
    <w:p>
      <w:pPr>
        <w:pStyle w:val="CaptionedFigure"/>
      </w:pPr>
      <w:r>
        <w:drawing>
          <wp:inline>
            <wp:extent cx="3733800" cy="2705546"/>
            <wp:effectExtent b="0" l="0" r="0" t="0"/>
            <wp:docPr descr="Рис. 20: Самостоятельная работа. Задание 7" title="" id="88" name="Picture"/>
            <a:graphic>
              <a:graphicData uri="http://schemas.openxmlformats.org/drawingml/2006/picture">
                <pic:pic>
                  <pic:nvPicPr>
                    <pic:cNvPr descr="image/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Самостоятельная работа. Задание 7</w:t>
      </w:r>
    </w:p>
    <w:bookmarkEnd w:id="90"/>
    <w:p>
      <w:pPr>
        <w:pStyle w:val="BodyText"/>
      </w:pPr>
      <w:r>
        <w:t xml:space="preserve">Самостоятельная работа. Задание 7 (рис. 21)</w:t>
      </w:r>
    </w:p>
    <w:bookmarkStart w:id="94" w:name="fig:021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21: Самостоятельная работа. Задание 7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Самостоятельная работа. Задание 7</w:t>
      </w:r>
    </w:p>
    <w:bookmarkEnd w:id="94"/>
    <w:p>
      <w:pPr>
        <w:pStyle w:val="BodyText"/>
      </w:pPr>
      <w:r>
        <w:t xml:space="preserve">Самостоятельная работа. Задание 8 (рис. 22)</w:t>
      </w:r>
    </w:p>
    <w:bookmarkStart w:id="98" w:name="fig:022"/>
    <w:p>
      <w:pPr>
        <w:pStyle w:val="CaptionedFigure"/>
      </w:pPr>
      <w:r>
        <w:drawing>
          <wp:inline>
            <wp:extent cx="3733800" cy="2515939"/>
            <wp:effectExtent b="0" l="0" r="0" t="0"/>
            <wp:docPr descr="Рис. 22: Самостоятельная работа. Задание 8" title="" id="96" name="Picture"/>
            <a:graphic>
              <a:graphicData uri="http://schemas.openxmlformats.org/drawingml/2006/picture">
                <pic:pic>
                  <pic:nvPicPr>
                    <pic:cNvPr descr="image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Самостоятельная работа. Задание 8</w:t>
      </w:r>
    </w:p>
    <w:bookmarkEnd w:id="98"/>
    <w:p>
      <w:pPr>
        <w:pStyle w:val="BodyText"/>
      </w:pPr>
      <w:r>
        <w:t xml:space="preserve">Самостоятельная работа. Задание 8 (рис. 23)</w:t>
      </w:r>
    </w:p>
    <w:bookmarkStart w:id="102" w:name="fig:023"/>
    <w:p>
      <w:pPr>
        <w:pStyle w:val="CaptionedFigure"/>
      </w:pPr>
      <w:r>
        <w:drawing>
          <wp:inline>
            <wp:extent cx="3733800" cy="2122140"/>
            <wp:effectExtent b="0" l="0" r="0" t="0"/>
            <wp:docPr descr="Рис. 23: Самостоятельная работа. Задание 8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Самостоятельная работа. Задание 8</w:t>
      </w:r>
    </w:p>
    <w:bookmarkEnd w:id="102"/>
    <w:p>
      <w:pPr>
        <w:pStyle w:val="BodyText"/>
      </w:pPr>
      <w:r>
        <w:t xml:space="preserve">Самостоятельная работа. Задание 9 (рис. 24)</w:t>
      </w:r>
    </w:p>
    <w:bookmarkStart w:id="106" w:name="fig:024"/>
    <w:p>
      <w:pPr>
        <w:pStyle w:val="CaptionedFigure"/>
      </w:pPr>
      <w:r>
        <w:drawing>
          <wp:inline>
            <wp:extent cx="3733800" cy="2370087"/>
            <wp:effectExtent b="0" l="0" r="0" t="0"/>
            <wp:docPr descr="Рис. 24: Самостоятельная работа. Задание 9" title="" id="104" name="Picture"/>
            <a:graphic>
              <a:graphicData uri="http://schemas.openxmlformats.org/drawingml/2006/picture">
                <pic:pic>
                  <pic:nvPicPr>
                    <pic:cNvPr descr="image/2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Самостоятельная работа. Задание 9</w:t>
      </w:r>
    </w:p>
    <w:bookmarkEnd w:id="106"/>
    <w:p>
      <w:pPr>
        <w:pStyle w:val="BodyText"/>
      </w:pPr>
      <w:r>
        <w:t xml:space="preserve">Самостоятельная работа. Задание 10 (рис. 25)</w:t>
      </w:r>
    </w:p>
    <w:bookmarkStart w:id="110" w:name="fig:025"/>
    <w:p>
      <w:pPr>
        <w:pStyle w:val="CaptionedFigure"/>
      </w:pPr>
      <w:r>
        <w:drawing>
          <wp:inline>
            <wp:extent cx="3733800" cy="2649003"/>
            <wp:effectExtent b="0" l="0" r="0" t="0"/>
            <wp:docPr descr="Рис. 25: Самостоятельная работа. Задание 10" title="" id="108" name="Picture"/>
            <a:graphic>
              <a:graphicData uri="http://schemas.openxmlformats.org/drawingml/2006/picture">
                <pic:pic>
                  <pic:nvPicPr>
                    <pic:cNvPr descr="image/2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Самостоятельная работа. Задание 10</w:t>
      </w:r>
    </w:p>
    <w:bookmarkEnd w:id="110"/>
    <w:p>
      <w:pPr>
        <w:pStyle w:val="BodyText"/>
      </w:pPr>
      <w:r>
        <w:t xml:space="preserve">Самостоятельная работа. Задание 11 (рис. 26)</w:t>
      </w:r>
    </w:p>
    <w:bookmarkStart w:id="114" w:name="fig:026"/>
    <w:p>
      <w:pPr>
        <w:pStyle w:val="CaptionedFigure"/>
      </w:pPr>
      <w:r>
        <w:drawing>
          <wp:inline>
            <wp:extent cx="3733800" cy="2618035"/>
            <wp:effectExtent b="0" l="0" r="0" t="0"/>
            <wp:docPr descr="Рис. 26: Самостоятельная работа. Задание 11" title="" id="112" name="Picture"/>
            <a:graphic>
              <a:graphicData uri="http://schemas.openxmlformats.org/drawingml/2006/picture">
                <pic:pic>
                  <pic:nvPicPr>
                    <pic:cNvPr descr="image/26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Самостоятельная работа. Задание 11</w:t>
      </w:r>
    </w:p>
    <w:bookmarkEnd w:id="114"/>
    <w:bookmarkEnd w:id="115"/>
    <w:bookmarkStart w:id="11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116"/>
    <w:bookmarkStart w:id="11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Julia 1.5 Documentation. — 2020. — URL: https://docs.julialang.org/en/v1/.</w:t>
      </w:r>
    </w:p>
    <w:p>
      <w:pPr>
        <w:pStyle w:val="Compact"/>
        <w:numPr>
          <w:ilvl w:val="0"/>
          <w:numId w:val="1002"/>
        </w:numPr>
      </w:pPr>
      <w:r>
        <w:t xml:space="preserve">Klok H.,Nazarathy Y. Statistics with Julia: Fundamentals for Data Science,Machine Learning</w:t>
      </w:r>
      <w:r>
        <w:t xml:space="preserve"> </w:t>
      </w:r>
      <w:r>
        <w:t xml:space="preserve">and Artificial Intelligence. — 2020. — URL: https://statisticswithjulia.org/.</w:t>
      </w:r>
    </w:p>
    <w:p>
      <w:pPr>
        <w:pStyle w:val="Compact"/>
        <w:numPr>
          <w:ilvl w:val="0"/>
          <w:numId w:val="1002"/>
        </w:numPr>
      </w:pPr>
      <w:r>
        <w:t xml:space="preserve">Ökten G. First Semester in Numerical Analysis with Julia. — Florida State University, 2019. —</w:t>
      </w:r>
      <w:r>
        <w:t xml:space="preserve"> </w:t>
      </w:r>
      <w:r>
        <w:t xml:space="preserve">DOI: 10.33009/jul.</w:t>
      </w:r>
    </w:p>
    <w:p>
      <w:pPr>
        <w:pStyle w:val="Compact"/>
        <w:numPr>
          <w:ilvl w:val="0"/>
          <w:numId w:val="1002"/>
        </w:numPr>
      </w:pPr>
      <w:r>
        <w:t xml:space="preserve">Антонюк В. А. Язык Julia как инструмент исследователя. — М. : Физический факультет</w:t>
      </w:r>
      <w:r>
        <w:t xml:space="preserve"> </w:t>
      </w:r>
      <w:r>
        <w:t xml:space="preserve">МГУ им. М. В. Ломоносова, 2019.</w:t>
      </w:r>
    </w:p>
    <w:p>
      <w:pPr>
        <w:pStyle w:val="Compact"/>
        <w:numPr>
          <w:ilvl w:val="0"/>
          <w:numId w:val="1002"/>
        </w:numPr>
      </w:pPr>
      <w:r>
        <w:t xml:space="preserve">Шиндин А. В. Язык программирования математических вычислений Julia. Базовое</w:t>
      </w:r>
      <w:r>
        <w:t xml:space="preserve"> </w:t>
      </w:r>
      <w:r>
        <w:t xml:space="preserve">руководство. — Нижний Новгород : Нижегородский госуниверситет, 2016.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5" Target="media/rId1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Козлов Всеволод Павлович НФИбд-02-22</dc:creator>
  <dc:language>ru-RU</dc:language>
  <cp:keywords/>
  <dcterms:created xsi:type="dcterms:W3CDTF">2025-10-11T17:42:40Z</dcterms:created>
  <dcterms:modified xsi:type="dcterms:W3CDTF">2025-10-11T17:42:40Z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Управляющие структуры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