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15.png" ContentType="image/png"/>
  <Override PartName="/word/media/rId19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Измерение и тестирование пропускной способности сети. Интерактивный эксперимент</w:t>
      </w:r>
    </w:p>
    <w:p>
      <w:pPr>
        <w:pStyle w:val="Author"/>
      </w:pPr>
      <w:r>
        <w:t xml:space="preserve">Козлов Всеволод Павлович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получение навыков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виртуальную машину mininet iPerf3 и дополнительное программное обеспечения для визуализации и обработки данных.</w:t>
      </w:r>
    </w:p>
    <w:p>
      <w:pPr>
        <w:pStyle w:val="Compact"/>
        <w:numPr>
          <w:ilvl w:val="0"/>
          <w:numId w:val="1001"/>
        </w:numPr>
      </w:pPr>
      <w:r>
        <w:t xml:space="preserve">Провести ряд интерактивных экспериментов по измерению пропускной</w:t>
      </w:r>
      <w:r>
        <w:t xml:space="preserve"> </w:t>
      </w:r>
      <w:r>
        <w:t xml:space="preserve">способности с помощью iPerf3 с построением графиков.</w:t>
      </w:r>
    </w:p>
    <w:bookmarkEnd w:id="10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Подключился к машине по ssh (рис. 1)</w:t>
      </w:r>
    </w:p>
    <w:bookmarkStart w:id="14" w:name="fig:001"/>
    <w:p>
      <w:pPr>
        <w:pStyle w:val="CaptionedFigure"/>
      </w:pPr>
      <w:r>
        <w:drawing>
          <wp:inline>
            <wp:extent cx="3733800" cy="1705270"/>
            <wp:effectExtent b="0" l="0" r="0" t="0"/>
            <wp:docPr descr="Рис. 1: Подключение к машине по ssh" title="" id="12" name="Picture"/>
            <a:graphic>
              <a:graphicData uri="http://schemas.openxmlformats.org/drawingml/2006/picture">
                <pic:pic>
                  <pic:nvPicPr>
                    <pic:cNvPr descr="image/1.pn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Подключение к машине по ssh</w:t>
      </w:r>
    </w:p>
    <w:bookmarkEnd w:id="14"/>
    <w:p>
      <w:pPr>
        <w:pStyle w:val="BodyText"/>
      </w:pPr>
      <w:r>
        <w:t xml:space="preserve">Посмотрите IP-адреса машины (рис. 2)</w:t>
      </w:r>
    </w:p>
    <w:bookmarkStart w:id="18" w:name="fig:002"/>
    <w:p>
      <w:pPr>
        <w:pStyle w:val="CaptionedFigure"/>
      </w:pPr>
      <w:r>
        <w:drawing>
          <wp:inline>
            <wp:extent cx="3733800" cy="2315674"/>
            <wp:effectExtent b="0" l="0" r="0" t="0"/>
            <wp:docPr descr="Рис. 2: IP-адреса машины" title="" id="16" name="Picture"/>
            <a:graphic>
              <a:graphicData uri="http://schemas.openxmlformats.org/drawingml/2006/picture">
                <pic:pic>
                  <pic:nvPicPr>
                    <pic:cNvPr descr="image/2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IP-адреса машины</w:t>
      </w:r>
    </w:p>
    <w:bookmarkEnd w:id="18"/>
    <w:p>
      <w:pPr>
        <w:pStyle w:val="BodyText"/>
      </w:pPr>
      <w:r>
        <w:t xml:space="preserve">Устанлвил iperf3 (рис. 3)</w:t>
      </w:r>
    </w:p>
    <w:bookmarkStart w:id="22" w:name="fig:003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3: Установка iperf3" title="" id="20" name="Picture"/>
            <a:graphic>
              <a:graphicData uri="http://schemas.openxmlformats.org/drawingml/2006/picture">
                <pic:pic>
                  <pic:nvPicPr>
                    <pic:cNvPr descr="image/3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iperf3</w:t>
      </w:r>
    </w:p>
    <w:bookmarkEnd w:id="22"/>
    <w:p>
      <w:pPr>
        <w:pStyle w:val="BodyText"/>
      </w:pPr>
      <w:r>
        <w:t xml:space="preserve">Установил необходимое дополнительное программное обеспечение (рис. 4)</w:t>
      </w:r>
    </w:p>
    <w:bookmarkStart w:id="26" w:name="fig:004"/>
    <w:p>
      <w:pPr>
        <w:pStyle w:val="CaptionedFigure"/>
      </w:pPr>
      <w:r>
        <w:drawing>
          <wp:inline>
            <wp:extent cx="3733800" cy="1597421"/>
            <wp:effectExtent b="0" l="0" r="0" t="0"/>
            <wp:docPr descr="Рис. 4: Необходимое дополнительное программное обеспечение" title="" id="24" name="Picture"/>
            <a:graphic>
              <a:graphicData uri="http://schemas.openxmlformats.org/drawingml/2006/picture">
                <pic:pic>
                  <pic:nvPicPr>
                    <pic:cNvPr descr="image/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Необходимое дополнительное программное обеспечение</w:t>
      </w:r>
    </w:p>
    <w:bookmarkEnd w:id="26"/>
    <w:p>
      <w:pPr>
        <w:pStyle w:val="BodyText"/>
      </w:pPr>
      <w:r>
        <w:t xml:space="preserve">Установил iperf3_plotter (рис. 5)</w:t>
      </w:r>
    </w:p>
    <w:bookmarkStart w:id="30" w:name="fig:005"/>
    <w:p>
      <w:pPr>
        <w:pStyle w:val="CaptionedFigure"/>
      </w:pPr>
      <w:r>
        <w:drawing>
          <wp:inline>
            <wp:extent cx="3733800" cy="1932434"/>
            <wp:effectExtent b="0" l="0" r="0" t="0"/>
            <wp:docPr descr="Рис. 5: Установка iperf3_plotter" title="" id="28" name="Picture"/>
            <a:graphic>
              <a:graphicData uri="http://schemas.openxmlformats.org/drawingml/2006/picture">
                <pic:pic>
                  <pic:nvPicPr>
                    <pic:cNvPr descr="image/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iperf3_plotter</w:t>
      </w:r>
    </w:p>
    <w:bookmarkEnd w:id="30"/>
    <w:p>
      <w:pPr>
        <w:pStyle w:val="BodyText"/>
      </w:pPr>
      <w:r>
        <w:t xml:space="preserve">Простейшую топология, состоящая из двух хостов и коммутатора</w:t>
      </w:r>
      <w:r>
        <w:t xml:space="preserve"> </w:t>
      </w:r>
      <w:r>
        <w:t xml:space="preserve">с назначенной по умолчанию mininet сетью 10.0.0.0/8 (рис. 6)</w:t>
      </w:r>
    </w:p>
    <w:bookmarkStart w:id="34" w:name="fig:006"/>
    <w:p>
      <w:pPr>
        <w:pStyle w:val="CaptionedFigure"/>
      </w:pPr>
      <w:r>
        <w:drawing>
          <wp:inline>
            <wp:extent cx="3733800" cy="2927970"/>
            <wp:effectExtent b="0" l="0" r="0" t="0"/>
            <wp:docPr descr="Рис. 6: Топология из двух хостов и коммутатора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7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Топология из двух хостов и коммутатора</w:t>
      </w:r>
    </w:p>
    <w:bookmarkEnd w:id="34"/>
    <w:p>
      <w:pPr>
        <w:pStyle w:val="BodyText"/>
      </w:pPr>
      <w:r>
        <w:t xml:space="preserve">Проведем простейший интерактивный эксперимент по измерению пропускной способности с помощью iPerf3 (рис. 7)</w:t>
      </w:r>
    </w:p>
    <w:bookmarkStart w:id="38" w:name="fig:007"/>
    <w:p>
      <w:pPr>
        <w:pStyle w:val="CaptionedFigure"/>
      </w:pPr>
      <w:r>
        <w:drawing>
          <wp:inline>
            <wp:extent cx="3733800" cy="1476786"/>
            <wp:effectExtent b="0" l="0" r="0" t="0"/>
            <wp:docPr descr="Рис. 7: Простейший интерактивный эксперимент" title="" id="36" name="Picture"/>
            <a:graphic>
              <a:graphicData uri="http://schemas.openxmlformats.org/drawingml/2006/picture">
                <pic:pic>
                  <pic:nvPicPr>
                    <pic:cNvPr descr="image/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Простейший интерактивный эксперимент</w:t>
      </w:r>
    </w:p>
    <w:bookmarkEnd w:id="38"/>
    <w:p>
      <w:pPr>
        <w:pStyle w:val="BodyText"/>
      </w:pPr>
      <w:r>
        <w:t xml:space="preserve">Проанализируем полученный в результате выполнения теста сводный отчёт, отобразившийся как на клиенте, так и на сервере iPerf3. Он содержет следующие данные:</w:t>
      </w:r>
    </w:p>
    <w:p>
      <w:pPr>
        <w:pStyle w:val="Compact"/>
        <w:numPr>
          <w:ilvl w:val="0"/>
          <w:numId w:val="1002"/>
        </w:numPr>
      </w:pPr>
      <w:r>
        <w:t xml:space="preserve">ID: идентификационный номер соединения – 7.</w:t>
      </w:r>
    </w:p>
    <w:p>
      <w:pPr>
        <w:pStyle w:val="Compact"/>
        <w:numPr>
          <w:ilvl w:val="0"/>
          <w:numId w:val="1002"/>
        </w:numPr>
      </w:pPr>
      <w:r>
        <w:t xml:space="preserve">интервал (Interval): временной интервал для периодических отчетов о пропускной способности (по умолчанию временной интервал равен 1 секунде);</w:t>
      </w:r>
    </w:p>
    <w:p>
      <w:pPr>
        <w:pStyle w:val="Compact"/>
        <w:numPr>
          <w:ilvl w:val="0"/>
          <w:numId w:val="1002"/>
        </w:numPr>
      </w:pPr>
      <w:r>
        <w:t xml:space="preserve">передача (Transfer): сколько данных было передано за каждый интервал времени – было пепредано от 1.98 до 2.39 GB в секунду;</w:t>
      </w:r>
    </w:p>
    <w:p>
      <w:pPr>
        <w:pStyle w:val="Compact"/>
        <w:numPr>
          <w:ilvl w:val="0"/>
          <w:numId w:val="1002"/>
        </w:numPr>
      </w:pPr>
      <w:r>
        <w:t xml:space="preserve">пропускная способность (Bitrate): измеренная пропускная способность в каждом временном интервале – от 17 до 20.5 Gbit/sec;</w:t>
      </w:r>
    </w:p>
    <w:p>
      <w:pPr>
        <w:pStyle w:val="Compact"/>
        <w:numPr>
          <w:ilvl w:val="0"/>
          <w:numId w:val="1002"/>
        </w:numPr>
      </w:pPr>
      <w:r>
        <w:t xml:space="preserve">Retr: количество повторно переданных TCP-сегментов за каждый временной интервал (это поле увеличивается, когда TCP-сегменты теряются в сети из-за перегрузки или повреждения) – чем больше пропускная способность, тем больше число повторно переданных TCP-сегментов. Максимум она достигает 3 при битрейте 20.5 Gbit/sec;</w:t>
      </w:r>
    </w:p>
    <w:p>
      <w:pPr>
        <w:pStyle w:val="Compact"/>
        <w:numPr>
          <w:ilvl w:val="0"/>
          <w:numId w:val="1002"/>
        </w:numPr>
      </w:pPr>
      <w:r>
        <w:t xml:space="preserve">Cwnd: указывает размер окна перегрузки в каждом временном интервале (TCP использует эту переменную для ограничения объёма данных, которые TCP-клиент может отправить до получения подтверждения отправленных данных) – это фиксированный параметр равный 8.09 MB.</w:t>
      </w:r>
    </w:p>
    <w:p>
      <w:pPr>
        <w:pStyle w:val="FirstParagraph"/>
      </w:pPr>
      <w:r>
        <w:t xml:space="preserve">Проведем аналогичный эксперимент в интерфейсе mininet (рис. 8)</w:t>
      </w:r>
    </w:p>
    <w:bookmarkStart w:id="42" w:name="fig:008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8: Аналогичный эксперимент в интерфейсе mininet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Аналогичный эксперимент в интерфейсе mininet</w:t>
      </w:r>
    </w:p>
    <w:bookmarkEnd w:id="42"/>
    <w:p>
      <w:pPr>
        <w:pStyle w:val="BodyText"/>
      </w:pPr>
      <w:r>
        <w:t xml:space="preserve">Сравним результаты. Увидим, что во втором случае было передано на 4,8 GB больше; пропускная способность увеличилась на 4,1; потери пакетов все также нет.</w:t>
      </w:r>
    </w:p>
    <w:p>
      <w:pPr>
        <w:pStyle w:val="BodyText"/>
      </w:pPr>
      <w:r>
        <w:t xml:space="preserve">Эксперимент с указанием времени для передачи (по умол 5) (рис. 9)</w:t>
      </w:r>
    </w:p>
    <w:bookmarkStart w:id="46" w:name="fig:009"/>
    <w:p>
      <w:pPr>
        <w:pStyle w:val="CaptionedFigure"/>
      </w:pPr>
      <w:r>
        <w:drawing>
          <wp:inline>
            <wp:extent cx="3733800" cy="1319929"/>
            <wp:effectExtent b="0" l="0" r="0" t="0"/>
            <wp:docPr descr="Рис. 9: Указание времени для передачи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Указание времени для передачи</w:t>
      </w:r>
    </w:p>
    <w:bookmarkEnd w:id="46"/>
    <w:p>
      <w:pPr>
        <w:pStyle w:val="BodyText"/>
      </w:pPr>
      <w:r>
        <w:t xml:space="preserve">Выполнение теста пропускной способности с 2-секундным интервалом времени отсчёта (рис. 10)</w:t>
      </w:r>
    </w:p>
    <w:bookmarkStart w:id="50" w:name="fig:010"/>
    <w:p>
      <w:pPr>
        <w:pStyle w:val="CaptionedFigure"/>
      </w:pPr>
      <w:r>
        <w:drawing>
          <wp:inline>
            <wp:extent cx="3733800" cy="1299728"/>
            <wp:effectExtent b="0" l="0" r="0" t="0"/>
            <wp:docPr descr="Рис. 10: 2-секундный интервал времени отсчёта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2-секундный интервал времени отсчёта</w:t>
      </w:r>
    </w:p>
    <w:bookmarkEnd w:id="50"/>
    <w:p>
      <w:pPr>
        <w:pStyle w:val="BodyText"/>
      </w:pPr>
      <w:r>
        <w:t xml:space="preserve">Можно увидеть, что действительно интервал увеличился в два раза, в результате чего в два раза увеличился также вес переданный за один интервал времени, но пропускная способность и суммарные величины очевидно практически не изменились.</w:t>
      </w:r>
    </w:p>
    <w:p>
      <w:pPr>
        <w:pStyle w:val="BodyText"/>
      </w:pPr>
      <w:r>
        <w:t xml:space="preserve">Задал на клиенте iPerf3 отправку определённого объёма данных (рис. 11)</w:t>
      </w:r>
    </w:p>
    <w:bookmarkStart w:id="54" w:name="fig:011"/>
    <w:p>
      <w:pPr>
        <w:pStyle w:val="CaptionedFigure"/>
      </w:pPr>
      <w:r>
        <w:drawing>
          <wp:inline>
            <wp:extent cx="3733800" cy="1387284"/>
            <wp:effectExtent b="0" l="0" r="0" t="0"/>
            <wp:docPr descr="Рис. 11: Отправка определённого объёма данных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определённого объёма данных</w:t>
      </w:r>
    </w:p>
    <w:bookmarkEnd w:id="54"/>
    <w:p>
      <w:pPr>
        <w:pStyle w:val="BodyText"/>
      </w:pPr>
      <w:r>
        <w:t xml:space="preserve">Изменим в тесте протокол передачи данных с TCP на UDP (рис. 12)</w:t>
      </w:r>
    </w:p>
    <w:bookmarkStart w:id="58" w:name="fig:012"/>
    <w:p>
      <w:pPr>
        <w:pStyle w:val="CaptionedFigure"/>
      </w:pPr>
      <w:r>
        <w:drawing>
          <wp:inline>
            <wp:extent cx="3733800" cy="1440738"/>
            <wp:effectExtent b="0" l="0" r="0" t="0"/>
            <wp:docPr descr="Рис. 12: Протокол передачи данных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Протокол передачи данных</w:t>
      </w:r>
    </w:p>
    <w:bookmarkEnd w:id="58"/>
    <w:p>
      <w:pPr>
        <w:pStyle w:val="BodyText"/>
      </w:pPr>
      <w:r>
        <w:t xml:space="preserve">Изменим номер порта для отправки/получения пакетов или датаграмм (рис. 13)</w:t>
      </w:r>
    </w:p>
    <w:bookmarkStart w:id="62" w:name="fig:013"/>
    <w:p>
      <w:pPr>
        <w:pStyle w:val="CaptionedFigure"/>
      </w:pPr>
      <w:r>
        <w:drawing>
          <wp:inline>
            <wp:extent cx="3733800" cy="1441320"/>
            <wp:effectExtent b="0" l="0" r="0" t="0"/>
            <wp:docPr descr="Рис. 13: Номер порт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Номер порта</w:t>
      </w:r>
    </w:p>
    <w:bookmarkEnd w:id="62"/>
    <w:p>
      <w:pPr>
        <w:pStyle w:val="BodyText"/>
      </w:pPr>
      <w:r>
        <w:t xml:space="preserve">Параметр обработки данных только от одного клиента (рис. 14)</w:t>
      </w:r>
    </w:p>
    <w:bookmarkStart w:id="66" w:name="fig:014"/>
    <w:p>
      <w:pPr>
        <w:pStyle w:val="CaptionedFigure"/>
      </w:pPr>
      <w:r>
        <w:drawing>
          <wp:inline>
            <wp:extent cx="3733800" cy="1380994"/>
            <wp:effectExtent b="0" l="0" r="0" t="0"/>
            <wp:docPr descr="Рис. 14: Параметр обработки данных только от одного клиент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Параметр обработки данных только от одного клиента</w:t>
      </w:r>
    </w:p>
    <w:bookmarkEnd w:id="66"/>
    <w:p>
      <w:pPr>
        <w:pStyle w:val="BodyText"/>
      </w:pPr>
      <w:r>
        <w:t xml:space="preserve">Результат в формате json (рис. 15)</w:t>
      </w:r>
    </w:p>
    <w:bookmarkStart w:id="70" w:name="fig:015"/>
    <w:p>
      <w:pPr>
        <w:pStyle w:val="CaptionedFigure"/>
      </w:pPr>
      <w:r>
        <w:drawing>
          <wp:inline>
            <wp:extent cx="3733800" cy="1387284"/>
            <wp:effectExtent b="0" l="0" r="0" t="0"/>
            <wp:docPr descr="Рис. 15: Результат в формате json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Результат в формате json</w:t>
      </w:r>
    </w:p>
    <w:bookmarkEnd w:id="70"/>
    <w:p>
      <w:pPr>
        <w:pStyle w:val="BodyText"/>
      </w:pPr>
      <w:r>
        <w:t xml:space="preserve">Сохраним результат в виде json (рис. 16)</w:t>
      </w:r>
    </w:p>
    <w:bookmarkStart w:id="74" w:name="fig:016"/>
    <w:p>
      <w:pPr>
        <w:pStyle w:val="CaptionedFigure"/>
      </w:pPr>
      <w:r>
        <w:drawing>
          <wp:inline>
            <wp:extent cx="3733800" cy="1769938"/>
            <wp:effectExtent b="0" l="0" r="0" t="0"/>
            <wp:docPr descr="Рис. 16: Сохранение результата в виде json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Сохранение результата в виде json</w:t>
      </w:r>
    </w:p>
    <w:bookmarkEnd w:id="74"/>
    <w:p>
      <w:pPr>
        <w:pStyle w:val="BodyText"/>
      </w:pPr>
      <w:r>
        <w:t xml:space="preserve">Сгенерировал выходные данные для файла JSON iPerf3 (рис. 17)</w:t>
      </w:r>
    </w:p>
    <w:bookmarkStart w:id="78" w:name="fig:017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7: Генерация выходных данных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Генерация выходных данных</w:t>
      </w:r>
    </w:p>
    <w:bookmarkEnd w:id="78"/>
    <w:p>
      <w:pPr>
        <w:pStyle w:val="BodyText"/>
      </w:pPr>
      <w:r>
        <w:t xml:space="preserve">Просмотр сгенерированных файлов (рис. 18)</w:t>
      </w:r>
    </w:p>
    <w:bookmarkStart w:id="82" w:name="fig:018"/>
    <w:p>
      <w:pPr>
        <w:pStyle w:val="CaptionedFigure"/>
      </w:pPr>
      <w:r>
        <w:drawing>
          <wp:inline>
            <wp:extent cx="3733800" cy="2096616"/>
            <wp:effectExtent b="0" l="0" r="0" t="0"/>
            <wp:docPr descr="Рис. 18: Просмотр сгенерированных файлов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сгенерированных файлов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познакомился с инструментом для измерения</w:t>
      </w:r>
      <w:r>
        <w:t xml:space="preserve"> </w:t>
      </w:r>
      <w:r>
        <w:t xml:space="preserve">пропускной способности сети в режиме реального времени — iPerf3, а также</w:t>
      </w:r>
      <w:r>
        <w:t xml:space="preserve"> </w:t>
      </w:r>
      <w:r>
        <w:t xml:space="preserve">получил навыки проведения интерактивного эксперимента по измерению</w:t>
      </w:r>
      <w:r>
        <w:t xml:space="preserve"> </w:t>
      </w:r>
      <w:r>
        <w:t xml:space="preserve">пропускной способности моделируемой сети в среде Mininet.</w:t>
      </w:r>
    </w:p>
    <w:bookmarkEnd w:id="84"/>
    <w:bookmarkStart w:id="91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Официальный сайт и репозиторий Mininet</w:t>
      </w:r>
    </w:p>
    <w:p>
      <w:pPr>
        <w:pStyle w:val="Compact"/>
        <w:numPr>
          <w:ilvl w:val="1"/>
          <w:numId w:val="1004"/>
        </w:numPr>
      </w:pPr>
      <w:r>
        <w:t xml:space="preserve">Mininet Official Website. – URL:</w:t>
      </w:r>
      <w:r>
        <w:t xml:space="preserve"> </w:t>
      </w:r>
      <w:hyperlink r:id="rId85">
        <w:r>
          <w:rPr>
            <w:rStyle w:val="Hyperlink"/>
          </w:rPr>
          <w:t xml:space="preserve">http://mininet.org/</w:t>
        </w:r>
      </w:hyperlink>
      <w:r>
        <w:br/>
      </w:r>
    </w:p>
    <w:p>
      <w:pPr>
        <w:pStyle w:val="Compact"/>
        <w:numPr>
          <w:ilvl w:val="1"/>
          <w:numId w:val="1004"/>
        </w:numPr>
      </w:pPr>
      <w:r>
        <w:t xml:space="preserve">Mininet GitHub Repository. – URL:</w:t>
      </w:r>
      <w:r>
        <w:t xml:space="preserve"> </w:t>
      </w:r>
      <w:hyperlink r:id="rId86">
        <w:r>
          <w:rPr>
            <w:rStyle w:val="Hyperlink"/>
          </w:rPr>
          <w:t xml:space="preserve">https://github.com/mininet/mininet</w:t>
        </w:r>
      </w:hyperlink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Документация по системам виртуализации и графическому интерфейсу</w:t>
      </w:r>
    </w:p>
    <w:p>
      <w:pPr>
        <w:pStyle w:val="Compact"/>
        <w:numPr>
          <w:ilvl w:val="1"/>
          <w:numId w:val="1005"/>
        </w:numPr>
      </w:pPr>
      <w:r>
        <w:t xml:space="preserve">VirtualBox Official Manual. – URL:</w:t>
      </w:r>
      <w:r>
        <w:t xml:space="preserve"> </w:t>
      </w:r>
      <w:hyperlink r:id="rId87">
        <w:r>
          <w:rPr>
            <w:rStyle w:val="Hyperlink"/>
          </w:rPr>
          <w:t xml:space="preserve">https://www.virtualbox.org/manual/UserManual.html</w:t>
        </w:r>
      </w:hyperlink>
      <w:r>
        <w:br/>
      </w:r>
    </w:p>
    <w:p>
      <w:pPr>
        <w:pStyle w:val="Compact"/>
        <w:numPr>
          <w:ilvl w:val="1"/>
          <w:numId w:val="1005"/>
        </w:numPr>
      </w:pPr>
      <w:r>
        <w:t xml:space="preserve">X Window System Protocol Documentation. – URL:</w:t>
      </w:r>
      <w:r>
        <w:t xml:space="preserve"> </w:t>
      </w:r>
      <w:hyperlink r:id="rId88">
        <w:r>
          <w:rPr>
            <w:rStyle w:val="Hyperlink"/>
          </w:rPr>
          <w:t xml:space="preserve">https://www.x.org/releases/current/doc/xproto/x11protocol.html</w:t>
        </w:r>
      </w:hyperlink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Вспомогательные ресурсы</w:t>
      </w:r>
    </w:p>
    <w:p>
      <w:pPr>
        <w:pStyle w:val="Compact"/>
        <w:numPr>
          <w:ilvl w:val="1"/>
          <w:numId w:val="1006"/>
        </w:numPr>
      </w:pPr>
      <w:r>
        <w:t xml:space="preserve">VcXsrv Windows X Server. – URL:</w:t>
      </w:r>
      <w:r>
        <w:t xml:space="preserve"> </w:t>
      </w:r>
      <w:hyperlink r:id="rId89">
        <w:r>
          <w:rPr>
            <w:rStyle w:val="Hyperlink"/>
          </w:rPr>
          <w:t xml:space="preserve">https://sourceforge.net/projects/vcxsrv/</w:t>
        </w:r>
      </w:hyperlink>
      <w:r>
        <w:br/>
      </w:r>
    </w:p>
    <w:p>
      <w:pPr>
        <w:pStyle w:val="Compact"/>
        <w:numPr>
          <w:ilvl w:val="1"/>
          <w:numId w:val="1006"/>
        </w:numPr>
      </w:pPr>
      <w:r>
        <w:t xml:space="preserve">Xming X Server. – URL:</w:t>
      </w:r>
      <w:r>
        <w:t xml:space="preserve"> </w:t>
      </w:r>
      <w:hyperlink r:id="rId90">
        <w:r>
          <w:rPr>
            <w:rStyle w:val="Hyperlink"/>
          </w:rPr>
          <w:t xml:space="preserve">http://www.straightrunning.com/XmingNotes/</w:t>
        </w:r>
      </w:hyperlink>
    </w:p>
    <w:bookmarkEnd w:id="9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1" Target="media/rId11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15" Target="media/rId15.png" /><Relationship Type="http://schemas.openxmlformats.org/officeDocument/2006/relationships/image" Id="rId19" Target="media/rId1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hyperlink" Id="rId85" Target="http://mininet.org/" TargetMode="External" /><Relationship Type="http://schemas.openxmlformats.org/officeDocument/2006/relationships/hyperlink" Id="rId90" Target="http://www.straightrunning.com/XmingNotes/" TargetMode="External" /><Relationship Type="http://schemas.openxmlformats.org/officeDocument/2006/relationships/hyperlink" Id="rId86" Target="https://github.com/mininet/mininet" TargetMode="External" /><Relationship Type="http://schemas.openxmlformats.org/officeDocument/2006/relationships/hyperlink" Id="rId89" Target="https://sourceforge.net/projects/vcxsrv/" TargetMode="External" /><Relationship Type="http://schemas.openxmlformats.org/officeDocument/2006/relationships/hyperlink" Id="rId87" Target="https://www.virtualbox.org/manual/UserManual.html" TargetMode="External" /><Relationship Type="http://schemas.openxmlformats.org/officeDocument/2006/relationships/hyperlink" Id="rId88" Target="https://www.x.org/releases/current/doc/xproto/x11protocol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://mininet.org/" TargetMode="External" /><Relationship Type="http://schemas.openxmlformats.org/officeDocument/2006/relationships/hyperlink" Id="rId90" Target="http://www.straightrunning.com/XmingNotes/" TargetMode="External" /><Relationship Type="http://schemas.openxmlformats.org/officeDocument/2006/relationships/hyperlink" Id="rId86" Target="https://github.com/mininet/mininet" TargetMode="External" /><Relationship Type="http://schemas.openxmlformats.org/officeDocument/2006/relationships/hyperlink" Id="rId89" Target="https://sourceforge.net/projects/vcxsrv/" TargetMode="External" /><Relationship Type="http://schemas.openxmlformats.org/officeDocument/2006/relationships/hyperlink" Id="rId87" Target="https://www.virtualbox.org/manual/UserManual.html" TargetMode="External" /><Relationship Type="http://schemas.openxmlformats.org/officeDocument/2006/relationships/hyperlink" Id="rId88" Target="https://www.x.org/releases/current/doc/xproto/x11protocol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Козлов Всеволод Павлович НФИбд-02-22</dc:creator>
  <dc:language>ru-RU</dc:language>
  <cp:keywords/>
  <dcterms:created xsi:type="dcterms:W3CDTF">2025-09-27T11:04:23Z</dcterms:created>
  <dcterms:modified xsi:type="dcterms:W3CDTF">2025-09-27T11:04:23Z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Arial</vt:lpwstr>
  </property>
  <property fmtid="{D5CDD505-2E9C-101B-9397-08002B2CF9AE}" pid="62" name="mainfontoptions">
    <vt:lpwstr>Ligatures=TeX</vt:lpwstr>
  </property>
  <property fmtid="{D5CDD505-2E9C-101B-9397-08002B2CF9AE}" pid="63" name="monofont">
    <vt:lpwstr>Arial</vt:lpwstr>
  </property>
  <property fmtid="{D5CDD505-2E9C-101B-9397-08002B2CF9AE}" pid="64" name="monofontoptions">
    <vt:lpwstr>Scale=MatchLowercase,Scale=0.9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Arial</vt:lpwstr>
  </property>
  <property fmtid="{D5CDD505-2E9C-101B-9397-08002B2CF9AE}" pid="75" name="romanfontoptions">
    <vt:lpwstr>Ligatures=TeX</vt:lpwstr>
  </property>
  <property fmtid="{D5CDD505-2E9C-101B-9397-08002B2CF9AE}" pid="76" name="sansfont">
    <vt:lpwstr>Arial</vt:lpwstr>
  </property>
  <property fmtid="{D5CDD505-2E9C-101B-9397-08002B2CF9AE}" pid="77" name="sansfontoptions">
    <vt:lpwstr>Ligatures=TeX,Scale=MatchLowercase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Измерение и тестирование пропускной способности сети. Интерактивный эксперимент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