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15.png" ContentType="image/png"/>
  <Override PartName="/word/media/rId79.png" ContentType="image/png"/>
  <Override PartName="/word/media/rId83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Настройка пропускной способности глобальной сети с помощью Token Bucket Filter</w:t>
      </w:r>
    </w:p>
    <w:p>
      <w:pPr>
        <w:pStyle w:val="Author"/>
      </w:pPr>
      <w:r>
        <w:t xml:space="preserve">Козлов Всеволод Павлович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принципами работы дисциплины очереди Token Bucket Filter, которая формирует входящий/исходящий</w:t>
      </w:r>
      <w:r>
        <w:t xml:space="preserve"> </w:t>
      </w:r>
      <w:r>
        <w:t xml:space="preserve">трафик для ограничения пропускной способности, а также получение навыков</w:t>
      </w:r>
      <w:r>
        <w:t xml:space="preserve"> </w:t>
      </w:r>
      <w:r>
        <w:t xml:space="preserve">моделирования и исследования поведения трафика посредством проведения</w:t>
      </w:r>
      <w:r>
        <w:t xml:space="preserve"> </w:t>
      </w:r>
      <w:r>
        <w:t xml:space="preserve">интерактивного и воспроизводимого экспериментов в Mininet.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Задайте топологию (рис. 6.3), состоящую из двух хостов и двух коммутаторов</w:t>
      </w:r>
      <w:r>
        <w:t xml:space="preserve"> </w:t>
      </w:r>
      <w:r>
        <w:t xml:space="preserve">с назначенной по умолчанию mininet сетью 10.0.0.0/8.</w:t>
      </w:r>
    </w:p>
    <w:p>
      <w:pPr>
        <w:pStyle w:val="Compact"/>
        <w:numPr>
          <w:ilvl w:val="0"/>
          <w:numId w:val="1001"/>
        </w:numPr>
      </w:pPr>
      <w:r>
        <w:t xml:space="preserve">Проведите интерактивные эксперименты по ограничению пропускной способности сети с помощью TBF в эмулируемой глобальной сети.</w:t>
      </w:r>
    </w:p>
    <w:p>
      <w:pPr>
        <w:pStyle w:val="Compact"/>
        <w:numPr>
          <w:ilvl w:val="0"/>
          <w:numId w:val="1001"/>
        </w:numPr>
      </w:pPr>
      <w:r>
        <w:t xml:space="preserve">Самостоятельно реализуйте воспроизводимые эксперимент по применению</w:t>
      </w:r>
      <w:r>
        <w:t xml:space="preserve"> </w:t>
      </w:r>
      <w:r>
        <w:t xml:space="preserve">TBF для ограничения пропускной способности. Постройте соответствующие</w:t>
      </w:r>
      <w:r>
        <w:t xml:space="preserve"> </w:t>
      </w:r>
      <w:r>
        <w:t xml:space="preserve">графики.</w:t>
      </w:r>
    </w:p>
    <w:bookmarkEnd w:id="10"/>
    <w:bookmarkStart w:id="8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Задал топологию сети, состоящую из двух хостов и двух коммутаторов (рис. 1)</w:t>
      </w:r>
    </w:p>
    <w:bookmarkStart w:id="14" w:name="fig:001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1: Топология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Топология</w:t>
      </w:r>
    </w:p>
    <w:bookmarkEnd w:id="14"/>
    <w:p>
      <w:pPr>
        <w:pStyle w:val="BodyText"/>
      </w:pPr>
      <w:r>
        <w:t xml:space="preserve">ifconfig (рис. 2)</w:t>
      </w:r>
    </w:p>
    <w:bookmarkStart w:id="18" w:name="fig:002"/>
    <w:p>
      <w:pPr>
        <w:pStyle w:val="CaptionedFigure"/>
      </w:pPr>
      <w:r>
        <w:drawing>
          <wp:inline>
            <wp:extent cx="3733800" cy="1994493"/>
            <wp:effectExtent b="0" l="0" r="0" t="0"/>
            <wp:docPr descr="Рис. 2: ifconfig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4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ifconfig</w:t>
      </w:r>
    </w:p>
    <w:bookmarkEnd w:id="18"/>
    <w:p>
      <w:pPr>
        <w:pStyle w:val="BodyText"/>
      </w:pPr>
      <w:r>
        <w:t xml:space="preserve">Пингование (рис. 3)</w:t>
      </w:r>
    </w:p>
    <w:bookmarkStart w:id="22" w:name="fig:003"/>
    <w:p>
      <w:pPr>
        <w:pStyle w:val="CaptionedFigure"/>
      </w:pPr>
      <w:r>
        <w:drawing>
          <wp:inline>
            <wp:extent cx="3733800" cy="2038874"/>
            <wp:effectExtent b="0" l="0" r="0" t="0"/>
            <wp:docPr descr="Рис. 3: Пингование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8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Пингование</w:t>
      </w:r>
    </w:p>
    <w:bookmarkEnd w:id="22"/>
    <w:p>
      <w:pPr>
        <w:pStyle w:val="BodyText"/>
      </w:pPr>
      <w:r>
        <w:t xml:space="preserve">iPerf3 сервер (рис. 4)</w:t>
      </w:r>
    </w:p>
    <w:bookmarkStart w:id="26" w:name="fig:004"/>
    <w:p>
      <w:pPr>
        <w:pStyle w:val="CaptionedFigure"/>
      </w:pPr>
      <w:r>
        <w:drawing>
          <wp:inline>
            <wp:extent cx="3733800" cy="1781688"/>
            <wp:effectExtent b="0" l="0" r="0" t="0"/>
            <wp:docPr descr="Рис. 4: iPerf3 сервер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1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iPerf3 сервер</w:t>
      </w:r>
    </w:p>
    <w:bookmarkEnd w:id="26"/>
    <w:p>
      <w:pPr>
        <w:pStyle w:val="BodyText"/>
      </w:pPr>
      <w:r>
        <w:t xml:space="preserve">Пропускную способность на 10 Гбит/с на интерфейсе h1-eth0 (рис. 5)</w:t>
      </w:r>
    </w:p>
    <w:bookmarkStart w:id="30" w:name="fig:005"/>
    <w:p>
      <w:pPr>
        <w:pStyle w:val="CaptionedFigure"/>
      </w:pPr>
      <w:r>
        <w:drawing>
          <wp:inline>
            <wp:extent cx="3733800" cy="1762672"/>
            <wp:effectExtent b="0" l="0" r="0" t="0"/>
            <wp:docPr descr="Рис. 5: пропускную способность на 10 Гбит/с на интерфейсе h1-eth0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2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пропускную способность на 10 Гбит/с на интерфейсе h1-eth0</w:t>
      </w:r>
    </w:p>
    <w:bookmarkEnd w:id="30"/>
    <w:p>
      <w:pPr>
        <w:pStyle w:val="BodyText"/>
      </w:pPr>
      <w:r>
        <w:t xml:space="preserve">Проверка пропускной способности (рис. 6)</w:t>
      </w:r>
    </w:p>
    <w:bookmarkStart w:id="34" w:name="fig:006"/>
    <w:p>
      <w:pPr>
        <w:pStyle w:val="CaptionedFigure"/>
      </w:pPr>
      <w:r>
        <w:drawing>
          <wp:inline>
            <wp:extent cx="3733800" cy="1810231"/>
            <wp:effectExtent b="0" l="0" r="0" t="0"/>
            <wp:docPr descr="Рис. 6: Проверка пропускной способности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0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пропускной способности</w:t>
      </w:r>
    </w:p>
    <w:bookmarkEnd w:id="34"/>
    <w:p>
      <w:pPr>
        <w:pStyle w:val="BodyText"/>
      </w:pPr>
      <w:r>
        <w:t xml:space="preserve">Ограничения скорости tbf с параметрами rate = 10gbit, burst = 5,000,000, limit= 15,000,000 (рис. 7)</w:t>
      </w:r>
    </w:p>
    <w:bookmarkStart w:id="38" w:name="fig:007"/>
    <w:p>
      <w:pPr>
        <w:pStyle w:val="CaptionedFigure"/>
      </w:pPr>
      <w:r>
        <w:drawing>
          <wp:inline>
            <wp:extent cx="3733800" cy="1754031"/>
            <wp:effectExtent b="0" l="0" r="0" t="0"/>
            <wp:docPr descr="Рис. 7: Ограничения скорости tbf с параметрами rate = 10gbit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4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Ограничения скорости tbf с параметрами rate = 10gbit</w:t>
      </w:r>
    </w:p>
    <w:bookmarkEnd w:id="38"/>
    <w:p>
      <w:pPr>
        <w:pStyle w:val="BodyText"/>
      </w:pPr>
      <w:r>
        <w:t xml:space="preserve">Проверка пропускной способности (рис. 8)</w:t>
      </w:r>
    </w:p>
    <w:bookmarkStart w:id="42" w:name="fig:008"/>
    <w:p>
      <w:pPr>
        <w:pStyle w:val="CaptionedFigure"/>
      </w:pPr>
      <w:r>
        <w:drawing>
          <wp:inline>
            <wp:extent cx="3733800" cy="1810231"/>
            <wp:effectExtent b="0" l="0" r="0" t="0"/>
            <wp:docPr descr="Рис. 8: Проверка пропускной способности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0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пропускной способности</w:t>
      </w:r>
    </w:p>
    <w:bookmarkEnd w:id="42"/>
    <w:p>
      <w:pPr>
        <w:pStyle w:val="BodyText"/>
      </w:pPr>
      <w:r>
        <w:t xml:space="preserve">Объединение NETEM и TBF (рис. 9)</w:t>
      </w:r>
    </w:p>
    <w:bookmarkStart w:id="46" w:name="fig:009"/>
    <w:p>
      <w:pPr>
        <w:pStyle w:val="CaptionedFigure"/>
      </w:pPr>
      <w:r>
        <w:drawing>
          <wp:inline>
            <wp:extent cx="3733800" cy="1792099"/>
            <wp:effectExtent b="0" l="0" r="0" t="0"/>
            <wp:docPr descr="Рис. 9: Объединение NETEM и TBF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2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Объединение NETEM и TBF</w:t>
      </w:r>
    </w:p>
    <w:bookmarkEnd w:id="46"/>
    <w:p>
      <w:pPr>
        <w:pStyle w:val="BodyText"/>
      </w:pPr>
      <w:r>
        <w:t xml:space="preserve">Проверка пропускной способности (рис. 10)</w:t>
      </w:r>
    </w:p>
    <w:bookmarkStart w:id="50" w:name="fig:010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10: Проверка пропускной способности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пропускной способности</w:t>
      </w:r>
    </w:p>
    <w:bookmarkEnd w:id="50"/>
    <w:p>
      <w:pPr>
        <w:pStyle w:val="BodyText"/>
      </w:pPr>
      <w:r>
        <w:t xml:space="preserve">Ограничение скорости с помощью tbf с параметрами rate=2gbit, burst=1,000,000, limit=2,000,000 (рис. 11)</w:t>
      </w:r>
    </w:p>
    <w:bookmarkStart w:id="54" w:name="fig:011"/>
    <w:p>
      <w:pPr>
        <w:pStyle w:val="CaptionedFigure"/>
      </w:pPr>
      <w:r>
        <w:drawing>
          <wp:inline>
            <wp:extent cx="3733800" cy="1796598"/>
            <wp:effectExtent b="0" l="0" r="0" t="0"/>
            <wp:docPr descr="Рис. 11: Ограничение скорости с помощью tbf с параметрами rate=2gbit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6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Ограничение скорости с помощью tbf с параметрами rate=2gbit</w:t>
      </w:r>
    </w:p>
    <w:bookmarkEnd w:id="54"/>
    <w:p>
      <w:pPr>
        <w:pStyle w:val="BodyText"/>
      </w:pPr>
      <w:r>
        <w:t xml:space="preserve">Проверка пропускной способности (рис. 12)</w:t>
      </w:r>
    </w:p>
    <w:bookmarkStart w:id="58" w:name="fig:012"/>
    <w:p>
      <w:pPr>
        <w:pStyle w:val="CaptionedFigure"/>
      </w:pPr>
      <w:r>
        <w:drawing>
          <wp:inline>
            <wp:extent cx="3733800" cy="1842131"/>
            <wp:effectExtent b="0" l="0" r="0" t="0"/>
            <wp:docPr descr="Рис. 12: Проверка пропускной способности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2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 пропускной способности</w:t>
      </w:r>
    </w:p>
    <w:bookmarkEnd w:id="58"/>
    <w:p>
      <w:pPr>
        <w:pStyle w:val="BodyText"/>
      </w:pPr>
      <w:r>
        <w:t xml:space="preserve">Пропуск. способ-ть 10 Гбит/с, burst=5млн, limit=15млн (рис. 13)</w:t>
      </w:r>
    </w:p>
    <w:bookmarkStart w:id="62" w:name="fig:015"/>
    <w:p>
      <w:pPr>
        <w:pStyle w:val="CaptionedFigure"/>
      </w:pPr>
      <w:r>
        <w:drawing>
          <wp:inline>
            <wp:extent cx="3733800" cy="2794702"/>
            <wp:effectExtent b="0" l="0" r="0" t="0"/>
            <wp:docPr descr="Рис. 13: Пропуск. способ-ть 10 Гбит/с, burst=5млн, limit=15млн" title="" id="60" name="Picture"/>
            <a:graphic>
              <a:graphicData uri="http://schemas.openxmlformats.org/drawingml/2006/picture">
                <pic:pic>
                  <pic:nvPicPr>
                    <pic:cNvPr descr="image/1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Пропуск. способ-ть 10 Гбит/с, burst=5млн, limit=15млн</w:t>
      </w:r>
    </w:p>
    <w:bookmarkEnd w:id="62"/>
    <w:p>
      <w:pPr>
        <w:pStyle w:val="BodyText"/>
      </w:pPr>
      <w:r>
        <w:t xml:space="preserve">Результат + график (рис. 14)</w:t>
      </w:r>
    </w:p>
    <w:bookmarkStart w:id="66" w:name="fig:016"/>
    <w:p>
      <w:pPr>
        <w:pStyle w:val="CaptionedFigure"/>
      </w:pPr>
      <w:r>
        <w:drawing>
          <wp:inline>
            <wp:extent cx="3733800" cy="2326068"/>
            <wp:effectExtent b="0" l="0" r="0" t="0"/>
            <wp:docPr descr="Рис. 14: Результат + график" title="" id="64" name="Picture"/>
            <a:graphic>
              <a:graphicData uri="http://schemas.openxmlformats.org/drawingml/2006/picture">
                <pic:pic>
                  <pic:nvPicPr>
                    <pic:cNvPr descr="image/16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6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Результат + график</w:t>
      </w:r>
    </w:p>
    <w:bookmarkEnd w:id="66"/>
    <w:p>
      <w:pPr>
        <w:pStyle w:val="BodyText"/>
      </w:pPr>
      <w:r>
        <w:t xml:space="preserve">TBF на switch1 (рис. 15)</w:t>
      </w:r>
    </w:p>
    <w:bookmarkStart w:id="70" w:name="fig:017"/>
    <w:p>
      <w:pPr>
        <w:pStyle w:val="CaptionedFigure"/>
      </w:pPr>
      <w:r>
        <w:drawing>
          <wp:inline>
            <wp:extent cx="3733800" cy="2671570"/>
            <wp:effectExtent b="0" l="0" r="0" t="0"/>
            <wp:docPr descr="Рис. 15: TBF на switch1" title="" id="68" name="Picture"/>
            <a:graphic>
              <a:graphicData uri="http://schemas.openxmlformats.org/drawingml/2006/picture">
                <pic:pic>
                  <pic:nvPicPr>
                    <pic:cNvPr descr="image/17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1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TBF на switch1</w:t>
      </w:r>
    </w:p>
    <w:bookmarkEnd w:id="70"/>
    <w:p>
      <w:pPr>
        <w:pStyle w:val="BodyText"/>
      </w:pPr>
      <w:r>
        <w:t xml:space="preserve">Результат (рис. 16)</w:t>
      </w:r>
    </w:p>
    <w:bookmarkStart w:id="74" w:name="fig:018"/>
    <w:p>
      <w:pPr>
        <w:pStyle w:val="CaptionedFigure"/>
      </w:pPr>
      <w:r>
        <w:drawing>
          <wp:inline>
            <wp:extent cx="3733800" cy="2250170"/>
            <wp:effectExtent b="0" l="0" r="0" t="0"/>
            <wp:docPr descr="Рис. 16: Результат" title="" id="72" name="Picture"/>
            <a:graphic>
              <a:graphicData uri="http://schemas.openxmlformats.org/drawingml/2006/picture">
                <pic:pic>
                  <pic:nvPicPr>
                    <pic:cNvPr descr="image/1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Результат</w:t>
      </w:r>
    </w:p>
    <w:bookmarkEnd w:id="74"/>
    <w:p>
      <w:pPr>
        <w:pStyle w:val="BodyText"/>
      </w:pPr>
      <w:r>
        <w:t xml:space="preserve">Второе правило на коммутаторе s1 (рис. 17)</w:t>
      </w:r>
    </w:p>
    <w:bookmarkStart w:id="78" w:name="fig:019"/>
    <w:p>
      <w:pPr>
        <w:pStyle w:val="CaptionedFigure"/>
      </w:pPr>
      <w:r>
        <w:drawing>
          <wp:inline>
            <wp:extent cx="3733800" cy="2254007"/>
            <wp:effectExtent b="0" l="0" r="0" t="0"/>
            <wp:docPr descr="Рис. 17: Второе правило на коммутаторе s1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4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Второе правило на коммутаторе s1</w:t>
      </w:r>
    </w:p>
    <w:bookmarkEnd w:id="78"/>
    <w:p>
      <w:pPr>
        <w:pStyle w:val="BodyText"/>
      </w:pPr>
      <w:r>
        <w:t xml:space="preserve">Результат (рис. 18)</w:t>
      </w:r>
    </w:p>
    <w:bookmarkStart w:id="82" w:name="fig:020"/>
    <w:p>
      <w:pPr>
        <w:pStyle w:val="CaptionedFigure"/>
      </w:pPr>
      <w:r>
        <w:drawing>
          <wp:inline>
            <wp:extent cx="3733800" cy="2000077"/>
            <wp:effectExtent b="0" l="0" r="0" t="0"/>
            <wp:docPr descr="Рис. 18: Результат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0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Результат</w:t>
      </w:r>
    </w:p>
    <w:bookmarkEnd w:id="82"/>
    <w:p>
      <w:pPr>
        <w:pStyle w:val="BodyText"/>
      </w:pPr>
      <w:r>
        <w:t xml:space="preserve">Общий график (рис. 19)</w:t>
      </w:r>
    </w:p>
    <w:bookmarkStart w:id="86" w:name="fig:021"/>
    <w:p>
      <w:pPr>
        <w:pStyle w:val="CaptionedFigure"/>
      </w:pPr>
      <w:r>
        <w:drawing>
          <wp:inline>
            <wp:extent cx="3733800" cy="2000077"/>
            <wp:effectExtent b="0" l="0" r="0" t="0"/>
            <wp:docPr descr="Рис. 19: Общий график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0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Общий график</w:t>
      </w:r>
    </w:p>
    <w:bookmarkEnd w:id="86"/>
    <w:bookmarkEnd w:id="87"/>
    <w:bookmarkStart w:id="8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Ознакомился с принципами работы дисциплины очереди Token Bucket Filter, которая формирует входящий/исходящий</w:t>
      </w:r>
      <w:r>
        <w:t xml:space="preserve"> </w:t>
      </w:r>
      <w:r>
        <w:t xml:space="preserve">трафик для ограничения пропускной способности, а также получил навыки</w:t>
      </w:r>
      <w:r>
        <w:t xml:space="preserve"> </w:t>
      </w:r>
      <w:r>
        <w:t xml:space="preserve">моделирования и исследования поведения трафика посредством проведения</w:t>
      </w:r>
      <w:r>
        <w:t xml:space="preserve"> </w:t>
      </w:r>
      <w:r>
        <w:t xml:space="preserve">интерактивного и воспроизводимого экспериментов в Mininet.</w:t>
      </w:r>
    </w:p>
    <w:bookmarkEnd w:id="88"/>
    <w:bookmarkStart w:id="95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Официальный сайт и репозиторий Mininet</w:t>
      </w:r>
    </w:p>
    <w:p>
      <w:pPr>
        <w:pStyle w:val="Compact"/>
        <w:numPr>
          <w:ilvl w:val="1"/>
          <w:numId w:val="1003"/>
        </w:numPr>
      </w:pPr>
      <w:r>
        <w:t xml:space="preserve">Mininet Official Website. – URL:</w:t>
      </w:r>
      <w:r>
        <w:t xml:space="preserve"> </w:t>
      </w:r>
      <w:hyperlink r:id="rId89">
        <w:r>
          <w:rPr>
            <w:rStyle w:val="Hyperlink"/>
          </w:rPr>
          <w:t xml:space="preserve">http://mininet.org/</w:t>
        </w:r>
      </w:hyperlink>
      <w:r>
        <w:br/>
      </w:r>
    </w:p>
    <w:p>
      <w:pPr>
        <w:pStyle w:val="Compact"/>
        <w:numPr>
          <w:ilvl w:val="1"/>
          <w:numId w:val="1003"/>
        </w:numPr>
      </w:pPr>
      <w:r>
        <w:t xml:space="preserve">Mininet GitHub Repository. – URL:</w:t>
      </w:r>
      <w:r>
        <w:t xml:space="preserve"> </w:t>
      </w:r>
      <w:hyperlink r:id="rId90">
        <w:r>
          <w:rPr>
            <w:rStyle w:val="Hyperlink"/>
          </w:rPr>
          <w:t xml:space="preserve">https://github.com/mininet/mininet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Документация по системам виртуализации и графическому интерфейсу</w:t>
      </w:r>
    </w:p>
    <w:p>
      <w:pPr>
        <w:pStyle w:val="Compact"/>
        <w:numPr>
          <w:ilvl w:val="1"/>
          <w:numId w:val="1004"/>
        </w:numPr>
      </w:pPr>
      <w:r>
        <w:t xml:space="preserve">VirtualBox Official Manual. – URL:</w:t>
      </w:r>
      <w:r>
        <w:t xml:space="preserve"> </w:t>
      </w:r>
      <w:hyperlink r:id="rId91">
        <w:r>
          <w:rPr>
            <w:rStyle w:val="Hyperlink"/>
          </w:rPr>
          <w:t xml:space="preserve">https://www.virtualbox.org/manual/UserManual.html</w:t>
        </w:r>
      </w:hyperlink>
      <w:r>
        <w:br/>
      </w:r>
    </w:p>
    <w:p>
      <w:pPr>
        <w:pStyle w:val="Compact"/>
        <w:numPr>
          <w:ilvl w:val="1"/>
          <w:numId w:val="1004"/>
        </w:numPr>
      </w:pPr>
      <w:r>
        <w:t xml:space="preserve">X Window System Protocol Documentation. – URL:</w:t>
      </w:r>
      <w:r>
        <w:t xml:space="preserve"> </w:t>
      </w:r>
      <w:hyperlink r:id="rId92">
        <w:r>
          <w:rPr>
            <w:rStyle w:val="Hyperlink"/>
          </w:rPr>
          <w:t xml:space="preserve">https://www.x.org/releases/current/doc/xproto/x11protocol.html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Вспомогательные ресурсы</w:t>
      </w:r>
    </w:p>
    <w:p>
      <w:pPr>
        <w:pStyle w:val="Compact"/>
        <w:numPr>
          <w:ilvl w:val="1"/>
          <w:numId w:val="1005"/>
        </w:numPr>
      </w:pPr>
      <w:r>
        <w:t xml:space="preserve">VcXsrv Windows X Server. – URL:</w:t>
      </w:r>
      <w:r>
        <w:t xml:space="preserve"> </w:t>
      </w:r>
      <w:hyperlink r:id="rId93">
        <w:r>
          <w:rPr>
            <w:rStyle w:val="Hyperlink"/>
          </w:rPr>
          <w:t xml:space="preserve">https://sourceforge.net/projects/vcxsrv/</w:t>
        </w:r>
      </w:hyperlink>
      <w:r>
        <w:br/>
      </w:r>
    </w:p>
    <w:p>
      <w:pPr>
        <w:pStyle w:val="Compact"/>
        <w:numPr>
          <w:ilvl w:val="1"/>
          <w:numId w:val="1005"/>
        </w:numPr>
      </w:pPr>
      <w:r>
        <w:t xml:space="preserve">Xming X Server. – URL:</w:t>
      </w:r>
      <w:r>
        <w:t xml:space="preserve"> </w:t>
      </w:r>
      <w:hyperlink r:id="rId94">
        <w:r>
          <w:rPr>
            <w:rStyle w:val="Hyperlink"/>
          </w:rPr>
          <w:t xml:space="preserve">http://www.straightrunning.com/XmingNotes/</w:t>
        </w:r>
      </w:hyperlink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15" Target="media/rId1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hyperlink" Id="rId89" Target="http://mininet.org/" TargetMode="External" /><Relationship Type="http://schemas.openxmlformats.org/officeDocument/2006/relationships/hyperlink" Id="rId94" Target="http://www.straightrunning.com/XmingNotes/" TargetMode="External" /><Relationship Type="http://schemas.openxmlformats.org/officeDocument/2006/relationships/hyperlink" Id="rId90" Target="https://github.com/mininet/mininet" TargetMode="External" /><Relationship Type="http://schemas.openxmlformats.org/officeDocument/2006/relationships/hyperlink" Id="rId93" Target="https://sourceforge.net/projects/vcxsrv/" TargetMode="External" /><Relationship Type="http://schemas.openxmlformats.org/officeDocument/2006/relationships/hyperlink" Id="rId91" Target="https://www.virtualbox.org/manual/UserManual.html" TargetMode="External" /><Relationship Type="http://schemas.openxmlformats.org/officeDocument/2006/relationships/hyperlink" Id="rId92" Target="https://www.x.org/releases/current/doc/xproto/x11protoco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http://mininet.org/" TargetMode="External" /><Relationship Type="http://schemas.openxmlformats.org/officeDocument/2006/relationships/hyperlink" Id="rId94" Target="http://www.straightrunning.com/XmingNotes/" TargetMode="External" /><Relationship Type="http://schemas.openxmlformats.org/officeDocument/2006/relationships/hyperlink" Id="rId90" Target="https://github.com/mininet/mininet" TargetMode="External" /><Relationship Type="http://schemas.openxmlformats.org/officeDocument/2006/relationships/hyperlink" Id="rId93" Target="https://sourceforge.net/projects/vcxsrv/" TargetMode="External" /><Relationship Type="http://schemas.openxmlformats.org/officeDocument/2006/relationships/hyperlink" Id="rId91" Target="https://www.virtualbox.org/manual/UserManual.html" TargetMode="External" /><Relationship Type="http://schemas.openxmlformats.org/officeDocument/2006/relationships/hyperlink" Id="rId92" Target="https://www.x.org/releases/current/doc/xproto/x11protocol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Козлов Всеволод Павлович НФИбд-02-22</dc:creator>
  <dc:language>ru-RU</dc:language>
  <cp:keywords/>
  <dcterms:created xsi:type="dcterms:W3CDTF">2025-11-22T18:28:37Z</dcterms:created>
  <dcterms:modified xsi:type="dcterms:W3CDTF">2025-11-22T18:28:37Z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Arial</vt:lpwstr>
  </property>
  <property fmtid="{D5CDD505-2E9C-101B-9397-08002B2CF9AE}" pid="62" name="mainfontoptions">
    <vt:lpwstr>Ligatures=TeX</vt:lpwstr>
  </property>
  <property fmtid="{D5CDD505-2E9C-101B-9397-08002B2CF9AE}" pid="63" name="monofont">
    <vt:lpwstr>Arial</vt:lpwstr>
  </property>
  <property fmtid="{D5CDD505-2E9C-101B-9397-08002B2CF9AE}" pid="64" name="monofontoptions">
    <vt:lpwstr>Scale=MatchLowercase,Scale=0.9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Arial</vt:lpwstr>
  </property>
  <property fmtid="{D5CDD505-2E9C-101B-9397-08002B2CF9AE}" pid="75" name="romanfontoptions">
    <vt:lpwstr>Ligatures=TeX</vt:lpwstr>
  </property>
  <property fmtid="{D5CDD505-2E9C-101B-9397-08002B2CF9AE}" pid="76" name="sansfont">
    <vt:lpwstr>Arial</vt:lpwstr>
  </property>
  <property fmtid="{D5CDD505-2E9C-101B-9397-08002B2CF9AE}" pid="77" name="sansfontoptions">
    <vt:lpwstr>Ligatures=TeX,Scale=MatchLowercase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Настройка пропускной способности глобальной сети с помощью Token Bucket Filter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