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900"/>
        <w:jc w:val="left"/>
        <w:tblLayout w:type="fixed"/>
        <w:tblLook w:firstColumn="1" w:firstRow="1" w:lastColumn="0" w:lastRow="0" w:noHBand="0" w:noVBand="1" w:val="04A0"/>
        <w:tblInd w:w="260" w:type="dxa"/>
        <w:tblBorders>
          <w:top w:val="nil"/>
          <w:left w:val="nil"/>
          <w:bottom w:val="nil"/>
          <w:right w:val="nil"/>
          <w:insideH w:val="nil"/>
          <w:insideV w:val="nil"/>
        </w:tblBorders>
      </w:tblPr>
      <w:tblGrid>
        <w:gridCol w:w="9900"/>
      </w:tblGrid>
      <w:tr>
        <w:tc>
          <w:tcPr>
            <w:tcW w:type="dxa" w:w="9900"/>
            <w:tcMar>
              <w:top w:w="220" w:type="dxa"/>
              <w:start w:w="260" w:type="dxa"/>
              <w:bottom w:w="220" w:type="dxa"/>
              <w:end w:w="260" w:type="dxa"/>
            </w:tcMar>
            <w:vAlign w:val="center"/>
            <w:shd w:fill="262626"/>
          </w:tcPr>
          <w:p>
            <w:r>
              <w:rPr>
                <w:rFonts w:ascii="Arial" w:hAnsi="Arial"/>
                <w:b/>
                <w:i w:val="0"/>
                <w:color w:val="A88945"/>
                <w:sz w:val="16"/>
              </w:rPr>
              <w:t>THE ART OF WAR FOR EDUCATORS</w:t>
            </w:r>
          </w:p>
        </w:tc>
      </w:tr>
    </w:tbl>
    <w:p>
      <w:pPr>
        <w:spacing w:after="0"/>
      </w:pPr>
    </w:p>
    <w:p>
      <w:pPr>
        <w:spacing w:before="0" w:after="200"/>
      </w:pPr>
      <w:r>
        <w:rPr>
          <w:rFonts w:ascii="Arial" w:hAnsi="Arial"/>
          <w:b/>
          <w:i w:val="0"/>
          <w:color w:val="A88945"/>
          <w:sz w:val="15"/>
        </w:rPr>
        <w:t>THE WARRIOR TEACHER'S PLAYBOOK</w:t>
      </w:r>
    </w:p>
    <w:p>
      <w:pPr>
        <w:spacing w:after="360"/>
      </w:pPr>
      <w:r>
        <w:rPr>
          <w:rFonts w:ascii="Georgia" w:hAnsi="Georgia"/>
          <w:b/>
          <w:i w:val="0"/>
          <w:color w:val="79242A"/>
          <w:sz w:val="80"/>
        </w:rPr>
        <w:t>The Human Potential</w:t>
        <w:br/>
        <w:t>Practice Studio</w:t>
      </w:r>
    </w:p>
    <w:p>
      <w:pPr>
        <w:spacing w:after="480"/>
      </w:pPr>
      <w:r>
        <w:rPr>
          <w:rFonts w:ascii="Georgia" w:hAnsi="Georgia"/>
          <w:b w:val="0"/>
          <w:i/>
          <w:color w:val="262626"/>
          <w:sz w:val="30"/>
        </w:rPr>
        <w:t>Reader Guide to Writing, Reflection, and Human-Governed AI Practice</w:t>
      </w:r>
    </w:p>
    <w:tbl>
      <w:tblPr>
        <w:tblW w:type="dxa" w:w="99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900"/>
        <w:gridCol w:w="3000"/>
      </w:tblGrid>
      <w:tr>
        <w:tc>
          <w:tcPr>
            <w:tcW w:type="dxa" w:w="6900"/>
            <w:tcMar>
              <w:top w:w="35" w:type="dxa"/>
              <w:start w:w="0" w:type="dxa"/>
              <w:bottom w:w="35" w:type="dxa"/>
              <w:end w:w="0" w:type="dxa"/>
            </w:tcMar>
            <w:vAlign w:val="center"/>
            <w:shd w:fill="79242A"/>
          </w:tcPr>
          <w:p/>
        </w:tc>
        <w:tc>
          <w:tcPr>
            <w:tcW w:type="dxa" w:w="3000"/>
            <w:tcMar>
              <w:top w:w="35" w:type="dxa"/>
              <w:start w:w="0" w:type="dxa"/>
              <w:bottom w:w="35" w:type="dxa"/>
              <w:end w:w="0" w:type="dxa"/>
            </w:tcMar>
            <w:vAlign w:val="center"/>
            <w:shd w:fill="A88945"/>
          </w:tcPr>
          <w:p/>
        </w:tc>
      </w:tr>
    </w:tbl>
    <w:p>
      <w:pPr>
        <w:spacing w:after="0"/>
      </w:pPr>
    </w:p>
    <w:p>
      <w:pPr>
        <w:spacing w:after="400" w:line="271" w:lineRule="auto"/>
      </w:pPr>
      <w:r>
        <w:rPr>
          <w:rFonts w:ascii="Georgia" w:hAnsi="Georgia"/>
          <w:b w:val="0"/>
          <w:i w:val="0"/>
          <w:color w:val="262626"/>
          <w:sz w:val="24"/>
        </w:rPr>
        <w:t>Write in the book when the page is enough. Continue online when the pattern needs to travel with you. In either route, the human remains responsible for truth, meaning, privacy, and the next move.</w:t>
      </w:r>
    </w:p>
    <w:p>
      <w:pPr>
        <w:spacing w:before="600"/>
      </w:pPr>
      <w:r>
        <w:rPr>
          <w:rFonts w:ascii="Arial" w:hAnsi="Arial"/>
          <w:b/>
          <w:i w:val="0"/>
          <w:color w:val="79242A"/>
          <w:sz w:val="18"/>
        </w:rPr>
        <w:t>PHAM  •  KP3</w:t>
      </w:r>
      <w:r>
        <w:rPr>
          <w:rFonts w:ascii="Georgia" w:hAnsi="Georgia"/>
          <w:b w:val="0"/>
          <w:i/>
          <w:color w:val="5D5A55"/>
          <w:sz w:val="21"/>
        </w:rPr>
        <w:br/>
        <w:t>Artist • Educator • Author</w:t>
      </w:r>
    </w:p>
    <w:p>
      <w:r>
        <w:br w:type="page"/>
      </w:r>
    </w:p>
    <w:p>
      <w:pPr>
        <w:spacing w:before="0" w:after="200"/>
      </w:pPr>
      <w:r>
        <w:rPr>
          <w:rFonts w:ascii="Arial" w:hAnsi="Arial"/>
          <w:b/>
          <w:i w:val="0"/>
          <w:color w:val="A88945"/>
          <w:sz w:val="15"/>
        </w:rPr>
        <w:t>ORIENTATION</w:t>
      </w:r>
    </w:p>
    <w:p>
      <w:pPr>
        <w:keepNext/>
        <w:spacing w:before="0" w:after="280"/>
      </w:pPr>
      <w:r>
        <w:rPr>
          <w:rFonts w:ascii="Georgia" w:hAnsi="Georgia"/>
          <w:b/>
          <w:i w:val="0"/>
          <w:color w:val="79242A"/>
          <w:sz w:val="60"/>
        </w:rPr>
        <w:t>Two routes. One responsibility.</w:t>
      </w:r>
    </w:p>
    <w:p>
      <w:pPr>
        <w:spacing w:after="320" w:line="271" w:lineRule="auto"/>
      </w:pPr>
      <w:r>
        <w:rPr>
          <w:rFonts w:ascii="Georgia" w:hAnsi="Georgia"/>
          <w:b w:val="0"/>
          <w:i w:val="0"/>
          <w:color w:val="262626"/>
          <w:sz w:val="22"/>
        </w:rPr>
        <w:t>The Studio does not ask every reader to work in the same way. It gives the reflection somewhere to live, then asks you to choose the route the moment requires.</w:t>
      </w:r>
    </w:p>
    <w:tbl>
      <w:tblPr>
        <w:tblW w:type="dxa" w:w="9900"/>
        <w:jc w:val="left"/>
        <w:tblLayout w:type="fixed"/>
        <w:tblLook w:firstColumn="1" w:firstRow="1" w:lastColumn="0" w:lastRow="0" w:noHBand="0" w:noVBand="1" w:val="04A0"/>
        <w:tblInd w:w="250" w:type="dxa"/>
        <w:tblBorders>
          <w:top w:val="nil"/>
          <w:left w:val="nil"/>
          <w:bottom w:val="nil"/>
          <w:right w:val="nil"/>
          <w:insideH w:val="nil"/>
          <w:insideV w:val="nil"/>
        </w:tblBorders>
      </w:tblPr>
      <w:tblGrid>
        <w:gridCol w:w="4950"/>
        <w:gridCol w:w="4950"/>
      </w:tblGrid>
      <w:tr>
        <w:tc>
          <w:tcPr>
            <w:tcW w:type="dxa" w:w="4950"/>
            <w:tcMar>
              <w:top w:w="240" w:type="dxa"/>
              <w:start w:w="250" w:type="dxa"/>
              <w:bottom w:w="240" w:type="dxa"/>
              <w:end w:w="250" w:type="dxa"/>
            </w:tcMar>
            <w:vAlign w:val="center"/>
            <w:shd w:fill="F7F3E9"/>
          </w:tcPr>
          <w:p>
            <w:r>
              <w:rPr>
                <w:rFonts w:ascii="Arial" w:hAnsi="Arial"/>
                <w:b/>
                <w:i w:val="0"/>
                <w:color w:val="79242A"/>
                <w:sz w:val="14"/>
              </w:rPr>
              <w:t>ROUTE 01 • WRITE HERE</w:t>
            </w:r>
          </w:p>
          <w:p>
            <w:pPr>
              <w:spacing w:before="360" w:after="240"/>
            </w:pPr>
            <w:r>
              <w:rPr>
                <w:rFonts w:ascii="Georgia" w:hAnsi="Georgia"/>
                <w:b/>
                <w:i w:val="0"/>
                <w:color w:val="262626"/>
                <w:sz w:val="36"/>
              </w:rPr>
              <w:t>Use the book as the field journal.</w:t>
            </w:r>
          </w:p>
          <w:p>
            <w:r>
              <w:rPr>
                <w:rFonts w:ascii="Georgia" w:hAnsi="Georgia"/>
                <w:b w:val="0"/>
                <w:i w:val="0"/>
                <w:color w:val="262626"/>
                <w:sz w:val="20"/>
              </w:rPr>
              <w:t>Complete one prompt. Mark one pattern. Return after a difficult moment. Blank space does not mean unfinished work.</w:t>
            </w:r>
          </w:p>
        </w:tc>
        <w:tc>
          <w:tcPr>
            <w:tcW w:type="dxa" w:w="4950"/>
            <w:tcMar>
              <w:top w:w="240" w:type="dxa"/>
              <w:start w:w="250" w:type="dxa"/>
              <w:bottom w:w="240" w:type="dxa"/>
              <w:end w:w="250" w:type="dxa"/>
            </w:tcMar>
            <w:vAlign w:val="center"/>
            <w:shd w:fill="F4E8E6"/>
          </w:tcPr>
          <w:p>
            <w:r>
              <w:rPr>
                <w:rFonts w:ascii="Arial" w:hAnsi="Arial"/>
                <w:b/>
                <w:i w:val="0"/>
                <w:color w:val="79242A"/>
                <w:sz w:val="14"/>
              </w:rPr>
              <w:t>ROUTE 02 • CONTINUE ONLINE</w:t>
            </w:r>
          </w:p>
          <w:p>
            <w:pPr>
              <w:spacing w:before="360" w:after="240"/>
            </w:pPr>
            <w:r>
              <w:rPr>
                <w:rFonts w:ascii="Georgia" w:hAnsi="Georgia"/>
                <w:b/>
                <w:i w:val="0"/>
                <w:color w:val="262626"/>
                <w:sz w:val="36"/>
              </w:rPr>
              <w:t>Build a private reflection practice.</w:t>
            </w:r>
          </w:p>
          <w:p>
            <w:r>
              <w:rPr>
                <w:rFonts w:ascii="Georgia" w:hAnsi="Georgia"/>
                <w:b w:val="0"/>
                <w:i w:val="0"/>
                <w:color w:val="262626"/>
                <w:sz w:val="20"/>
              </w:rPr>
              <w:t>Use the fillable Playbook, browser-local journal, and Reader Agent Starter to study evidence across time.</w:t>
            </w:r>
          </w:p>
        </w:tc>
      </w:tr>
    </w:tbl>
    <w:p>
      <w:pPr>
        <w:spacing w:after="0"/>
      </w:pPr>
    </w:p>
    <w:p>
      <w:pPr>
        <w:keepNext/>
        <w:spacing w:before="220" w:after="140"/>
      </w:pPr>
      <w:r>
        <w:rPr>
          <w:rFonts w:ascii="Arial" w:hAnsi="Arial"/>
          <w:b/>
          <w:i w:val="0"/>
          <w:color w:val="262626"/>
          <w:sz w:val="21"/>
        </w:rPr>
        <w:t>What both routes protect</w:t>
      </w:r>
    </w:p>
    <w:p>
      <w:pPr>
        <w:pStyle w:val="ListBullet"/>
        <w:spacing w:after="100" w:line="259" w:lineRule="auto"/>
        <w:ind w:left="403" w:hanging="259"/>
      </w:pPr>
      <w:r>
        <w:rPr>
          <w:rFonts w:ascii="Georgia" w:hAnsi="Georgia"/>
          <w:b w:val="0"/>
          <w:i w:val="0"/>
          <w:color w:val="262626"/>
          <w:sz w:val="19"/>
        </w:rPr>
        <w:t>Direct evidence remains separate from interpretation.</w:t>
      </w:r>
    </w:p>
    <w:p>
      <w:pPr>
        <w:pStyle w:val="ListBullet"/>
        <w:spacing w:after="100" w:line="259" w:lineRule="auto"/>
        <w:ind w:left="403" w:hanging="259"/>
      </w:pPr>
      <w:r>
        <w:rPr>
          <w:rFonts w:ascii="Georgia" w:hAnsi="Georgia"/>
          <w:b w:val="0"/>
          <w:i w:val="0"/>
          <w:color w:val="262626"/>
          <w:sz w:val="19"/>
        </w:rPr>
        <w:t>Another perspective is allowed to change the picture.</w:t>
      </w:r>
    </w:p>
    <w:p>
      <w:pPr>
        <w:pStyle w:val="ListBullet"/>
        <w:spacing w:after="100" w:line="259" w:lineRule="auto"/>
        <w:ind w:left="403" w:hanging="259"/>
      </w:pPr>
      <w:r>
        <w:rPr>
          <w:rFonts w:ascii="Georgia" w:hAnsi="Georgia"/>
          <w:b w:val="0"/>
          <w:i w:val="0"/>
          <w:color w:val="262626"/>
          <w:sz w:val="19"/>
        </w:rPr>
        <w:t>The next move is humane, observable, and reversible where possible.</w:t>
      </w:r>
    </w:p>
    <w:p>
      <w:pPr>
        <w:pStyle w:val="ListBullet"/>
        <w:spacing w:after="100" w:line="259" w:lineRule="auto"/>
        <w:ind w:left="403" w:hanging="259"/>
      </w:pPr>
      <w:r>
        <w:rPr>
          <w:rFonts w:ascii="Georgia" w:hAnsi="Georgia"/>
          <w:b w:val="0"/>
          <w:i w:val="0"/>
          <w:color w:val="262626"/>
          <w:sz w:val="19"/>
        </w:rPr>
        <w:t>AI may organize the reflection; it does not own the judgment.</w:t>
      </w: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4E8E6"/>
          </w:tcPr>
          <w:p>
            <w:pPr>
              <w:spacing w:after="120"/>
            </w:pPr>
            <w:r>
              <w:rPr>
                <w:rFonts w:ascii="Arial" w:hAnsi="Arial"/>
                <w:b/>
                <w:i w:val="0"/>
                <w:color w:val="79242A"/>
                <w:sz w:val="18"/>
              </w:rPr>
              <w:t>THE LINK IN THE BOOK</w:t>
            </w:r>
          </w:p>
          <w:p>
            <w:pPr>
              <w:spacing w:after="0" w:line="269" w:lineRule="auto"/>
            </w:pPr>
            <w:r>
              <w:rPr>
                <w:rFonts w:ascii="Georgia" w:hAnsi="Georgia"/>
                <w:b w:val="0"/>
                <w:i w:val="0"/>
                <w:color w:val="262626"/>
                <w:sz w:val="20"/>
              </w:rPr>
              <w:t>The printed URL and QR lead to an author-controlled Resources page. The tools can improve without making the book's doorway obsolete. These resources support non-identifying teacher reflection only. They do not contain or authorize the proposed learner reporting extension.</w:t>
            </w:r>
          </w:p>
        </w:tc>
      </w:tr>
    </w:tbl>
    <w:p>
      <w:pPr>
        <w:spacing w:after="0"/>
      </w:pPr>
    </w:p>
    <w:p>
      <w:r>
        <w:br w:type="page"/>
      </w:r>
    </w:p>
    <w:p>
      <w:pPr>
        <w:spacing w:before="0" w:after="200"/>
      </w:pPr>
      <w:r>
        <w:rPr>
          <w:rFonts w:ascii="Arial" w:hAnsi="Arial"/>
          <w:b/>
          <w:i w:val="0"/>
          <w:color w:val="A88945"/>
          <w:sz w:val="15"/>
        </w:rPr>
        <w:t>THE PRACTICE</w:t>
      </w:r>
    </w:p>
    <w:p>
      <w:pPr>
        <w:keepNext/>
        <w:spacing w:before="0" w:after="280"/>
      </w:pPr>
      <w:r>
        <w:rPr>
          <w:rFonts w:ascii="Georgia" w:hAnsi="Georgia"/>
          <w:b/>
          <w:i w:val="0"/>
          <w:color w:val="79242A"/>
          <w:sz w:val="60"/>
        </w:rPr>
        <w:t>The Human Potential Growth Cycle</w:t>
      </w:r>
    </w:p>
    <w:p>
      <w:pPr>
        <w:spacing w:after="280" w:line="271" w:lineRule="auto"/>
      </w:pPr>
      <w:r>
        <w:rPr>
          <w:rFonts w:ascii="Georgia" w:hAnsi="Georgia"/>
          <w:b w:val="0"/>
          <w:i w:val="0"/>
          <w:color w:val="262626"/>
          <w:sz w:val="22"/>
        </w:rPr>
        <w:t>One moment can teach you something. A pattern across comparable moments can teach you more. The cycle slows certainty down long enough for better judgment to form.</w:t>
      </w:r>
    </w:p>
    <w:tbl>
      <w:tblPr>
        <w:tblW w:type="dxa" w:w="9900"/>
        <w:jc w:val="left"/>
        <w:tblLayout w:type="fixed"/>
        <w:tblLook w:firstColumn="1" w:firstRow="1" w:lastColumn="0" w:lastRow="0" w:noHBand="0" w:noVBand="1" w:val="04A0"/>
        <w:tblInd w:w="210" w:type="dxa"/>
        <w:tblBorders>
          <w:top w:val="nil"/>
          <w:left w:val="nil"/>
          <w:bottom w:val="nil"/>
          <w:right w:val="nil"/>
          <w:insideH w:val="nil"/>
          <w:insideV w:val="nil"/>
        </w:tblBorders>
      </w:tblPr>
      <w:tblGrid>
        <w:gridCol w:w="3300"/>
        <w:gridCol w:w="3300"/>
        <w:gridCol w:w="3300"/>
      </w:tblGrid>
      <w:tr>
        <w:tc>
          <w:tcPr>
            <w:tcW w:type="dxa" w:w="3300"/>
            <w:tcMar>
              <w:top w:w="220" w:type="dxa"/>
              <w:start w:w="210" w:type="dxa"/>
              <w:bottom w:w="220" w:type="dxa"/>
              <w:end w:w="210" w:type="dxa"/>
            </w:tcMar>
            <w:vAlign w:val="center"/>
            <w:shd w:fill="F7F3E9"/>
          </w:tcPr>
          <w:p>
            <w:r>
              <w:rPr>
                <w:rFonts w:ascii="Arial" w:hAnsi="Arial"/>
                <w:b/>
                <w:i w:val="0"/>
                <w:color w:val="79242A"/>
                <w:sz w:val="14"/>
              </w:rPr>
              <w:t>DAILY</w:t>
            </w:r>
          </w:p>
          <w:p>
            <w:pPr>
              <w:spacing w:before="360"/>
            </w:pPr>
            <w:r>
              <w:rPr>
                <w:rFonts w:ascii="Georgia" w:hAnsi="Georgia"/>
                <w:b/>
                <w:i w:val="0"/>
                <w:color w:val="262626"/>
                <w:sz w:val="44"/>
              </w:rPr>
              <w:t>Notice</w:t>
            </w:r>
          </w:p>
          <w:p>
            <w:pPr>
              <w:spacing w:before="240"/>
            </w:pPr>
            <w:r>
              <w:rPr>
                <w:rFonts w:ascii="Georgia" w:hAnsi="Georgia"/>
                <w:b w:val="0"/>
                <w:i w:val="0"/>
                <w:color w:val="262626"/>
                <w:sz w:val="19"/>
              </w:rPr>
              <w:t>Record the evidence. Separate the story. Choose one move and one success signal.</w:t>
            </w:r>
          </w:p>
        </w:tc>
        <w:tc>
          <w:tcPr>
            <w:tcW w:type="dxa" w:w="3300"/>
            <w:tcMar>
              <w:top w:w="220" w:type="dxa"/>
              <w:start w:w="210" w:type="dxa"/>
              <w:bottom w:w="220" w:type="dxa"/>
              <w:end w:w="210" w:type="dxa"/>
            </w:tcMar>
            <w:vAlign w:val="center"/>
            <w:shd w:fill="EEE7DC"/>
          </w:tcPr>
          <w:p>
            <w:r>
              <w:rPr>
                <w:rFonts w:ascii="Arial" w:hAnsi="Arial"/>
                <w:b/>
                <w:i w:val="0"/>
                <w:color w:val="79242A"/>
                <w:sz w:val="14"/>
              </w:rPr>
              <w:t>WEEKLY</w:t>
            </w:r>
          </w:p>
          <w:p>
            <w:pPr>
              <w:spacing w:before="360"/>
            </w:pPr>
            <w:r>
              <w:rPr>
                <w:rFonts w:ascii="Georgia" w:hAnsi="Georgia"/>
                <w:b/>
                <w:i w:val="0"/>
                <w:color w:val="262626"/>
                <w:sz w:val="44"/>
              </w:rPr>
              <w:t>Test</w:t>
            </w:r>
          </w:p>
          <w:p>
            <w:pPr>
              <w:spacing w:before="240"/>
            </w:pPr>
            <w:r>
              <w:rPr>
                <w:rFonts w:ascii="Georgia" w:hAnsi="Georgia"/>
                <w:b w:val="0"/>
                <w:i w:val="0"/>
                <w:color w:val="262626"/>
                <w:sz w:val="19"/>
              </w:rPr>
              <w:t>Find recurrence and contradiction. Invite the perspective that changes the picture.</w:t>
            </w:r>
          </w:p>
        </w:tc>
        <w:tc>
          <w:tcPr>
            <w:tcW w:type="dxa" w:w="3300"/>
            <w:tcMar>
              <w:top w:w="220" w:type="dxa"/>
              <w:start w:w="210" w:type="dxa"/>
              <w:bottom w:w="220" w:type="dxa"/>
              <w:end w:w="210" w:type="dxa"/>
            </w:tcMar>
            <w:vAlign w:val="center"/>
            <w:shd w:fill="F4E8E6"/>
          </w:tcPr>
          <w:p>
            <w:r>
              <w:rPr>
                <w:rFonts w:ascii="Arial" w:hAnsi="Arial"/>
                <w:b/>
                <w:i w:val="0"/>
                <w:color w:val="79242A"/>
                <w:sz w:val="14"/>
              </w:rPr>
              <w:t>FOUR-WEEK</w:t>
            </w:r>
          </w:p>
          <w:p>
            <w:pPr>
              <w:spacing w:before="360"/>
            </w:pPr>
            <w:r>
              <w:rPr>
                <w:rFonts w:ascii="Georgia" w:hAnsi="Georgia"/>
                <w:b/>
                <w:i w:val="0"/>
                <w:color w:val="262626"/>
                <w:sz w:val="44"/>
              </w:rPr>
              <w:t>Learn</w:t>
            </w:r>
          </w:p>
          <w:p>
            <w:pPr>
              <w:spacing w:before="240"/>
            </w:pPr>
            <w:r>
              <w:rPr>
                <w:rFonts w:ascii="Georgia" w:hAnsi="Georgia"/>
                <w:b w:val="0"/>
                <w:i w:val="0"/>
                <w:color w:val="262626"/>
                <w:sz w:val="19"/>
              </w:rPr>
              <w:t>Compare only what can honestly be compared. Name confidence, changed conditions, and the next cycle.</w:t>
            </w:r>
          </w:p>
        </w:tc>
      </w:tr>
    </w:tbl>
    <w:p>
      <w:pPr>
        <w:spacing w:after="0"/>
      </w:pPr>
    </w:p>
    <w:p>
      <w:pPr>
        <w:keepNext/>
        <w:spacing w:before="220" w:after="140"/>
      </w:pPr>
      <w:r>
        <w:rPr>
          <w:rFonts w:ascii="Arial" w:hAnsi="Arial"/>
          <w:b/>
          <w:i w:val="0"/>
          <w:color w:val="262626"/>
          <w:sz w:val="21"/>
        </w:rPr>
        <w:t>The discipline beneath the cycle</w:t>
      </w:r>
    </w:p>
    <w:p>
      <w:pPr>
        <w:pStyle w:val="ListBullet"/>
        <w:spacing w:after="100" w:line="259" w:lineRule="auto"/>
        <w:ind w:left="403" w:hanging="259"/>
      </w:pPr>
      <w:r>
        <w:rPr>
          <w:rFonts w:ascii="Georgia" w:hAnsi="Georgia"/>
          <w:b w:val="0"/>
          <w:i w:val="0"/>
          <w:color w:val="262626"/>
          <w:sz w:val="19"/>
        </w:rPr>
        <w:t>A score starts a question; it does not finish one.</w:t>
      </w:r>
    </w:p>
    <w:p>
      <w:pPr>
        <w:pStyle w:val="ListBullet"/>
        <w:spacing w:after="100" w:line="259" w:lineRule="auto"/>
        <w:ind w:left="403" w:hanging="259"/>
      </w:pPr>
      <w:r>
        <w:rPr>
          <w:rFonts w:ascii="Georgia" w:hAnsi="Georgia"/>
          <w:b w:val="0"/>
          <w:i w:val="0"/>
          <w:color w:val="262626"/>
          <w:sz w:val="19"/>
        </w:rPr>
        <w:t>A difference is not automatically growth, and a pattern is not proof of cause.</w:t>
      </w:r>
    </w:p>
    <w:p>
      <w:pPr>
        <w:pStyle w:val="ListBullet"/>
        <w:spacing w:after="100" w:line="259" w:lineRule="auto"/>
        <w:ind w:left="403" w:hanging="259"/>
      </w:pPr>
      <w:r>
        <w:rPr>
          <w:rFonts w:ascii="Georgia" w:hAnsi="Georgia"/>
          <w:b w:val="0"/>
          <w:i w:val="0"/>
          <w:color w:val="262626"/>
          <w:sz w:val="19"/>
        </w:rPr>
        <w:t>Coverage, context, and contradiction belong beside every trend.</w:t>
      </w:r>
    </w:p>
    <w:p>
      <w:pPr>
        <w:pStyle w:val="ListBullet"/>
        <w:spacing w:after="100" w:line="259" w:lineRule="auto"/>
        <w:ind w:left="403" w:hanging="259"/>
      </w:pPr>
      <w:r>
        <w:rPr>
          <w:rFonts w:ascii="Georgia" w:hAnsi="Georgia"/>
          <w:b w:val="0"/>
          <w:i w:val="0"/>
          <w:color w:val="262626"/>
          <w:sz w:val="19"/>
        </w:rPr>
        <w:t>The purpose is not to look perfect. It is to become more teachable by the evidence.</w:t>
      </w: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7F3E9"/>
          </w:tcPr>
          <w:p>
            <w:pPr>
              <w:spacing w:after="120"/>
            </w:pPr>
            <w:r>
              <w:rPr>
                <w:rFonts w:ascii="Arial" w:hAnsi="Arial"/>
                <w:b/>
                <w:i w:val="0"/>
                <w:color w:val="79242A"/>
                <w:sz w:val="18"/>
              </w:rPr>
              <w:t>THE OUTCOME</w:t>
            </w:r>
          </w:p>
          <w:p>
            <w:pPr>
              <w:spacing w:after="0" w:line="269" w:lineRule="auto"/>
            </w:pPr>
            <w:r>
              <w:rPr>
                <w:rFonts w:ascii="Georgia" w:hAnsi="Georgia"/>
                <w:b w:val="0"/>
                <w:i w:val="0"/>
                <w:color w:val="262626"/>
                <w:sz w:val="20"/>
              </w:rPr>
              <w:t>Efficiency matters only when recovered time and attention return to people, learning, creativity, collaboration, or care.</w:t>
            </w:r>
          </w:p>
        </w:tc>
      </w:tr>
    </w:tbl>
    <w:p>
      <w:pPr>
        <w:spacing w:after="0"/>
      </w:pPr>
    </w:p>
    <w:p>
      <w:r>
        <w:br w:type="page"/>
      </w:r>
    </w:p>
    <w:p>
      <w:pPr>
        <w:spacing w:before="0" w:after="200"/>
      </w:pPr>
      <w:r>
        <w:rPr>
          <w:rFonts w:ascii="Arial" w:hAnsi="Arial"/>
          <w:b/>
          <w:i w:val="0"/>
          <w:color w:val="A88945"/>
          <w:sz w:val="15"/>
        </w:rPr>
        <w:t>ROUTE 02</w:t>
      </w:r>
    </w:p>
    <w:p>
      <w:pPr>
        <w:keepNext/>
        <w:spacing w:before="0" w:after="280"/>
      </w:pPr>
      <w:r>
        <w:rPr>
          <w:rFonts w:ascii="Georgia" w:hAnsi="Georgia"/>
          <w:b/>
          <w:i w:val="0"/>
          <w:color w:val="79242A"/>
          <w:sz w:val="60"/>
        </w:rPr>
        <w:t>Your browser-local journal</w:t>
      </w:r>
    </w:p>
    <w:p>
      <w:pPr>
        <w:spacing w:after="240" w:line="271" w:lineRule="auto"/>
      </w:pPr>
      <w:r>
        <w:rPr>
          <w:rFonts w:ascii="Georgia" w:hAnsi="Georgia"/>
          <w:b w:val="0"/>
          <w:i w:val="0"/>
          <w:color w:val="262626"/>
          <w:sz w:val="22"/>
        </w:rPr>
        <w:t>The online journal is browser-local by design. Entries remain in this browser profile on your device unless you choose to copy, download, or clear them.</w:t>
      </w:r>
    </w:p>
    <w:p>
      <w:pPr>
        <w:keepNext/>
        <w:spacing w:before="220" w:after="140"/>
      </w:pPr>
      <w:r>
        <w:rPr>
          <w:rFonts w:ascii="Arial" w:hAnsi="Arial"/>
          <w:b/>
          <w:i w:val="0"/>
          <w:color w:val="262626"/>
          <w:sz w:val="21"/>
        </w:rPr>
        <w:t>Use it in four moves</w:t>
      </w:r>
    </w:p>
    <w:p>
      <w:pPr>
        <w:spacing w:after="100" w:line="259" w:lineRule="auto"/>
        <w:ind w:left="403" w:hanging="259"/>
      </w:pPr>
      <w:r>
        <w:rPr>
          <w:rFonts w:ascii="Georgia" w:hAnsi="Georgia"/>
          <w:b w:val="0"/>
          <w:i w:val="0"/>
          <w:color w:val="262626"/>
          <w:sz w:val="19"/>
        </w:rPr>
        <w:t>1.  Choose Daily, Weekly, or Four-week Cycle.</w:t>
      </w:r>
    </w:p>
    <w:p>
      <w:pPr>
        <w:spacing w:after="100" w:line="259" w:lineRule="auto"/>
        <w:ind w:left="403" w:hanging="259"/>
      </w:pPr>
      <w:r>
        <w:rPr>
          <w:rFonts w:ascii="Georgia" w:hAnsi="Georgia"/>
          <w:b w:val="0"/>
          <w:i w:val="0"/>
          <w:color w:val="262626"/>
          <w:sz w:val="19"/>
        </w:rPr>
        <w:t>2.  Write only what the question needs. Keep identities and confidential material out.</w:t>
      </w:r>
    </w:p>
    <w:p>
      <w:pPr>
        <w:spacing w:after="100" w:line="259" w:lineRule="auto"/>
        <w:ind w:left="403" w:hanging="259"/>
      </w:pPr>
      <w:r>
        <w:rPr>
          <w:rFonts w:ascii="Georgia" w:hAnsi="Georgia"/>
          <w:b w:val="0"/>
          <w:i w:val="0"/>
          <w:color w:val="262626"/>
          <w:sz w:val="19"/>
        </w:rPr>
        <w:t>3.  Let the journal save in this browser profile while you work, or download a private text copy.</w:t>
      </w:r>
    </w:p>
    <w:p>
      <w:pPr>
        <w:spacing w:after="100" w:line="259" w:lineRule="auto"/>
        <w:ind w:left="403" w:hanging="259"/>
      </w:pPr>
      <w:r>
        <w:rPr>
          <w:rFonts w:ascii="Georgia" w:hAnsi="Georgia"/>
          <w:b w:val="0"/>
          <w:i w:val="0"/>
          <w:color w:val="262626"/>
          <w:sz w:val="19"/>
        </w:rPr>
        <w:t>4.  Use the optional AI review draft only after every authorization gate is confirmed.</w:t>
      </w: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4E8E6"/>
          </w:tcPr>
          <w:p>
            <w:pPr>
              <w:spacing w:after="120"/>
            </w:pPr>
            <w:r>
              <w:rPr>
                <w:rFonts w:ascii="Arial" w:hAnsi="Arial"/>
                <w:b/>
                <w:i w:val="0"/>
                <w:color w:val="79242A"/>
                <w:sz w:val="18"/>
              </w:rPr>
              <w:t>WHAT THE STUDIO DOES NOT DO</w:t>
            </w:r>
          </w:p>
          <w:p>
            <w:pPr>
              <w:spacing w:after="0" w:line="269" w:lineRule="auto"/>
            </w:pPr>
            <w:r>
              <w:rPr>
                <w:rFonts w:ascii="Georgia" w:hAnsi="Georgia"/>
                <w:b w:val="0"/>
                <w:i w:val="0"/>
                <w:color w:val="262626"/>
                <w:sz w:val="20"/>
              </w:rPr>
              <w:t>It does not receive, transmit, inspect, anonymize, approve, or validate your entries. It cannot determine whether information is identifiable. That responsibility remains with you and the organization governing the work.</w:t>
            </w:r>
          </w:p>
        </w:tc>
      </w:tr>
    </w:tbl>
    <w:p>
      <w:pPr>
        <w:spacing w:after="0"/>
      </w:pPr>
    </w:p>
    <w:p>
      <w:pPr>
        <w:keepNext/>
        <w:spacing w:before="220" w:after="140"/>
      </w:pPr>
      <w:r>
        <w:rPr>
          <w:rFonts w:ascii="Arial" w:hAnsi="Arial"/>
          <w:b/>
          <w:i w:val="0"/>
          <w:color w:val="262626"/>
          <w:sz w:val="21"/>
        </w:rPr>
        <w:t>The blank-template principle</w:t>
      </w:r>
    </w:p>
    <w:p>
      <w:pPr>
        <w:spacing w:after="160" w:line="271" w:lineRule="auto"/>
      </w:pPr>
      <w:r>
        <w:rPr>
          <w:rFonts w:ascii="Georgia" w:hAnsi="Georgia"/>
          <w:b w:val="0"/>
          <w:i w:val="0"/>
          <w:color w:val="262626"/>
          <w:sz w:val="21"/>
        </w:rPr>
        <w:t>If an approved AI system needs to understand the method, give it the public blank template or Reader Agent Starter. Do not make a completed private journal public just so an AI system can read it.</w:t>
      </w:r>
    </w:p>
    <w:p>
      <w:pPr>
        <w:spacing w:after="160" w:line="271" w:lineRule="auto"/>
      </w:pPr>
      <w:r>
        <w:rPr>
          <w:rFonts w:ascii="Georgia" w:hAnsi="Georgia"/>
          <w:b w:val="0"/>
          <w:i w:val="0"/>
          <w:color w:val="262626"/>
          <w:sz w:val="21"/>
        </w:rPr>
        <w:t>A permission-controlled link to completed reflection belongs only in a system explicitly authorized for that exact document access, purpose, and information. When in doubt, paste a smaller reviewed extract or keep the reflection human-only.</w:t>
      </w:r>
    </w:p>
    <w:p>
      <w:r>
        <w:br w:type="page"/>
      </w:r>
    </w:p>
    <w:p>
      <w:pPr>
        <w:spacing w:before="0" w:after="200"/>
      </w:pPr>
      <w:r>
        <w:rPr>
          <w:rFonts w:ascii="Arial" w:hAnsi="Arial"/>
          <w:b/>
          <w:i w:val="0"/>
          <w:color w:val="A88945"/>
          <w:sz w:val="15"/>
        </w:rPr>
        <w:t>READER AGENT STARTER</w:t>
      </w:r>
    </w:p>
    <w:p>
      <w:pPr>
        <w:keepNext/>
        <w:spacing w:before="0" w:after="280"/>
      </w:pPr>
      <w:r>
        <w:rPr>
          <w:rFonts w:ascii="Georgia" w:hAnsi="Georgia"/>
          <w:b/>
          <w:i w:val="0"/>
          <w:color w:val="79242A"/>
          <w:sz w:val="58"/>
        </w:rPr>
        <w:t>Build a reflection companion, not an authority.</w:t>
      </w:r>
    </w:p>
    <w:p>
      <w:pPr>
        <w:spacing w:after="200" w:line="271" w:lineRule="auto"/>
      </w:pPr>
      <w:r>
        <w:rPr>
          <w:rFonts w:ascii="Georgia" w:hAnsi="Georgia"/>
          <w:b w:val="0"/>
          <w:i w:val="0"/>
          <w:color w:val="262626"/>
          <w:sz w:val="22"/>
        </w:rPr>
        <w:t>The purpose of the reader agent is to shorten the distance between reflection and a wiser question. It must never shorten the distance between uncertainty and a verdict.</w:t>
      </w:r>
    </w:p>
    <w:p>
      <w:pPr>
        <w:keepNext/>
        <w:spacing w:before="220" w:after="140"/>
      </w:pPr>
      <w:r>
        <w:rPr>
          <w:rFonts w:ascii="Arial" w:hAnsi="Arial"/>
          <w:b/>
          <w:i w:val="0"/>
          <w:color w:val="262626"/>
          <w:sz w:val="21"/>
        </w:rPr>
        <w:t>Set it up</w:t>
      </w:r>
    </w:p>
    <w:p>
      <w:pPr>
        <w:spacing w:after="100" w:line="259" w:lineRule="auto"/>
        <w:ind w:left="403" w:hanging="259"/>
      </w:pPr>
      <w:r>
        <w:rPr>
          <w:rFonts w:ascii="Georgia" w:hAnsi="Georgia"/>
          <w:b w:val="0"/>
          <w:i w:val="0"/>
          <w:color w:val="262626"/>
          <w:sz w:val="19"/>
        </w:rPr>
        <w:t>1.  Choose an AI system authorized for the exact purpose and information.</w:t>
      </w:r>
    </w:p>
    <w:p>
      <w:pPr>
        <w:spacing w:after="100" w:line="259" w:lineRule="auto"/>
        <w:ind w:left="403" w:hanging="259"/>
      </w:pPr>
      <w:r>
        <w:rPr>
          <w:rFonts w:ascii="Georgia" w:hAnsi="Georgia"/>
          <w:b w:val="0"/>
          <w:i w:val="0"/>
          <w:color w:val="262626"/>
          <w:sz w:val="19"/>
        </w:rPr>
        <w:t>2.  Give it the Reader Agent Starter and, if needed, the public blank-template link.</w:t>
      </w:r>
    </w:p>
    <w:p>
      <w:pPr>
        <w:spacing w:after="100" w:line="259" w:lineRule="auto"/>
        <w:ind w:left="403" w:hanging="259"/>
      </w:pPr>
      <w:r>
        <w:rPr>
          <w:rFonts w:ascii="Georgia" w:hAnsi="Georgia"/>
          <w:b w:val="0"/>
          <w:i w:val="0"/>
          <w:color w:val="262626"/>
          <w:sz w:val="19"/>
        </w:rPr>
        <w:t>3.  Tell it to separate observation, interpretation, uncertainty, perspective, action, and signal.</w:t>
      </w:r>
    </w:p>
    <w:p>
      <w:pPr>
        <w:spacing w:after="100" w:line="259" w:lineRule="auto"/>
        <w:ind w:left="403" w:hanging="259"/>
      </w:pPr>
      <w:r>
        <w:rPr>
          <w:rFonts w:ascii="Georgia" w:hAnsi="Georgia"/>
          <w:b w:val="0"/>
          <w:i w:val="0"/>
          <w:color w:val="262626"/>
          <w:sz w:val="19"/>
        </w:rPr>
        <w:t>4.  Require alternative interpretations, missing evidence, and one reversible test.</w:t>
      </w:r>
    </w:p>
    <w:p>
      <w:pPr>
        <w:spacing w:after="100" w:line="259" w:lineRule="auto"/>
        <w:ind w:left="403" w:hanging="259"/>
      </w:pPr>
      <w:r>
        <w:rPr>
          <w:rFonts w:ascii="Georgia" w:hAnsi="Georgia"/>
          <w:b w:val="0"/>
          <w:i w:val="0"/>
          <w:color w:val="262626"/>
          <w:sz w:val="19"/>
        </w:rPr>
        <w:t>5.  End every review with the Human Check: Challenge, Verify, Decide, Review.</w:t>
      </w: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7F3E9"/>
          </w:tcPr>
          <w:p>
            <w:pPr>
              <w:spacing w:after="120"/>
            </w:pPr>
            <w:r>
              <w:rPr>
                <w:rFonts w:ascii="Arial" w:hAnsi="Arial"/>
                <w:b/>
                <w:i w:val="0"/>
                <w:color w:val="79242A"/>
                <w:sz w:val="18"/>
              </w:rPr>
              <w:t>THE AGENT'S ROLE</w:t>
            </w:r>
          </w:p>
          <w:p>
            <w:pPr>
              <w:spacing w:after="0" w:line="269" w:lineRule="auto"/>
            </w:pPr>
            <w:r>
              <w:rPr>
                <w:rFonts w:ascii="Georgia" w:hAnsi="Georgia"/>
                <w:b w:val="0"/>
                <w:i w:val="0"/>
                <w:color w:val="262626"/>
                <w:sz w:val="20"/>
              </w:rPr>
              <w:t>Organize evidence. Surface patterns and contradictions. Ask what may be missing. Offer options. Say when there is not enough evidence. Return responsibility to the human.</w:t>
            </w:r>
          </w:p>
        </w:tc>
      </w:tr>
    </w:tbl>
    <w:p>
      <w:pPr>
        <w:spacing w:after="0"/>
      </w:pPr>
    </w:p>
    <w:p>
      <w:pPr>
        <w:keepNext/>
        <w:spacing w:before="220" w:after="140"/>
      </w:pPr>
      <w:r>
        <w:rPr>
          <w:rFonts w:ascii="Arial" w:hAnsi="Arial"/>
          <w:b/>
          <w:i w:val="0"/>
          <w:color w:val="262626"/>
          <w:sz w:val="21"/>
        </w:rPr>
        <w:t>The response you should expect</w:t>
      </w:r>
    </w:p>
    <w:p>
      <w:pPr>
        <w:pStyle w:val="ListBullet"/>
        <w:spacing w:after="100" w:line="259" w:lineRule="auto"/>
        <w:ind w:left="403" w:hanging="259"/>
      </w:pPr>
      <w:r>
        <w:rPr>
          <w:rFonts w:ascii="Georgia" w:hAnsi="Georgia"/>
          <w:b w:val="0"/>
          <w:i w:val="0"/>
          <w:color w:val="262626"/>
          <w:sz w:val="19"/>
        </w:rPr>
        <w:t>The strongest supported pattern and the evidence behind it.</w:t>
      </w:r>
    </w:p>
    <w:p>
      <w:pPr>
        <w:pStyle w:val="ListBullet"/>
        <w:spacing w:after="100" w:line="259" w:lineRule="auto"/>
        <w:ind w:left="403" w:hanging="259"/>
      </w:pPr>
      <w:r>
        <w:rPr>
          <w:rFonts w:ascii="Georgia" w:hAnsi="Georgia"/>
          <w:b w:val="0"/>
          <w:i w:val="0"/>
          <w:color w:val="262626"/>
          <w:sz w:val="19"/>
        </w:rPr>
        <w:t>The contradiction or missing perspective most likely to change the reading.</w:t>
      </w:r>
    </w:p>
    <w:p>
      <w:pPr>
        <w:pStyle w:val="ListBullet"/>
        <w:spacing w:after="100" w:line="259" w:lineRule="auto"/>
        <w:ind w:left="403" w:hanging="259"/>
      </w:pPr>
      <w:r>
        <w:rPr>
          <w:rFonts w:ascii="Georgia" w:hAnsi="Georgia"/>
          <w:b w:val="0"/>
          <w:i w:val="0"/>
          <w:color w:val="262626"/>
          <w:sz w:val="19"/>
        </w:rPr>
        <w:t>Two plausible alternatives rather than one confident story.</w:t>
      </w:r>
    </w:p>
    <w:p>
      <w:pPr>
        <w:pStyle w:val="ListBullet"/>
        <w:spacing w:after="100" w:line="259" w:lineRule="auto"/>
        <w:ind w:left="403" w:hanging="259"/>
      </w:pPr>
      <w:r>
        <w:rPr>
          <w:rFonts w:ascii="Georgia" w:hAnsi="Georgia"/>
          <w:b w:val="0"/>
          <w:i w:val="0"/>
          <w:color w:val="262626"/>
          <w:sz w:val="19"/>
        </w:rPr>
        <w:t>One small test, one observable signal, and one reason to reconsider.</w:t>
      </w:r>
    </w:p>
    <w:p>
      <w:r>
        <w:br w:type="page"/>
      </w:r>
    </w:p>
    <w:p>
      <w:pPr>
        <w:spacing w:before="0" w:after="200"/>
      </w:pPr>
      <w:r>
        <w:rPr>
          <w:rFonts w:ascii="Arial" w:hAnsi="Arial"/>
          <w:b/>
          <w:i w:val="0"/>
          <w:color w:val="A88945"/>
          <w:sz w:val="15"/>
        </w:rPr>
        <w:t>BEFORE ANYTHING LEAVES YOUR DEVICE</w:t>
      </w:r>
    </w:p>
    <w:p>
      <w:pPr>
        <w:keepNext/>
        <w:spacing w:before="0" w:after="280"/>
      </w:pPr>
      <w:r>
        <w:rPr>
          <w:rFonts w:ascii="Georgia" w:hAnsi="Georgia"/>
          <w:b/>
          <w:i w:val="0"/>
          <w:color w:val="79242A"/>
          <w:sz w:val="60"/>
        </w:rPr>
        <w:t>The three-part authorization gate</w:t>
      </w:r>
    </w:p>
    <w:p>
      <w:pPr>
        <w:spacing w:after="280" w:line="271" w:lineRule="auto"/>
      </w:pPr>
      <w:r>
        <w:rPr>
          <w:rFonts w:ascii="Georgia" w:hAnsi="Georgia"/>
          <w:b w:val="0"/>
          <w:i w:val="0"/>
          <w:color w:val="262626"/>
          <w:sz w:val="22"/>
        </w:rPr>
        <w:t>The journal cannot make information safe by changing a name, removing a name, or placing it behind a link. Permission follows the system, purpose, data, and document access.</w:t>
      </w:r>
    </w:p>
    <w:tbl>
      <w:tblPr>
        <w:tblW w:type="dxa" w:w="9900"/>
        <w:jc w:val="left"/>
        <w:tblLayout w:type="fixed"/>
        <w:tblLook w:firstColumn="1" w:firstRow="1" w:lastColumn="0" w:lastRow="0" w:noHBand="0" w:noVBand="1" w:val="04A0"/>
        <w:tblInd w:w="180" w:type="dxa"/>
        <w:tblBorders>
          <w:top w:val="nil"/>
          <w:left w:val="nil"/>
          <w:bottom w:val="nil"/>
          <w:right w:val="nil"/>
          <w:insideH w:val="nil"/>
          <w:insideV w:val="nil"/>
        </w:tblBorders>
      </w:tblPr>
      <w:tblGrid>
        <w:gridCol w:w="1150"/>
        <w:gridCol w:w="8750"/>
      </w:tblGrid>
      <w:tr>
        <w:tc>
          <w:tcPr>
            <w:tcW w:type="dxa" w:w="1150"/>
            <w:tcMar>
              <w:top w:w="150" w:type="dxa"/>
              <w:start w:w="180" w:type="dxa"/>
              <w:bottom w:w="150" w:type="dxa"/>
              <w:end w:w="180" w:type="dxa"/>
            </w:tcMar>
            <w:vAlign w:val="center"/>
            <w:shd w:fill="79242A"/>
          </w:tcPr>
          <w:p>
            <w:pPr>
              <w:jc w:val="center"/>
            </w:pPr>
            <w:r>
              <w:rPr>
                <w:rFonts w:ascii="Georgia" w:hAnsi="Georgia"/>
                <w:b/>
                <w:i w:val="0"/>
                <w:color w:val="FFFFFF"/>
                <w:sz w:val="40"/>
              </w:rPr>
              <w:t>01</w:t>
            </w:r>
          </w:p>
        </w:tc>
        <w:tc>
          <w:tcPr>
            <w:tcW w:type="dxa" w:w="8750"/>
            <w:tcMar>
              <w:top w:w="150" w:type="dxa"/>
              <w:start w:w="180" w:type="dxa"/>
              <w:bottom w:w="150" w:type="dxa"/>
              <w:end w:w="180" w:type="dxa"/>
            </w:tcMar>
            <w:vAlign w:val="center"/>
            <w:shd w:fill="F7F3E9"/>
          </w:tcPr>
          <w:p>
            <w:r>
              <w:rPr>
                <w:rFonts w:ascii="Arial" w:hAnsi="Arial"/>
                <w:b/>
                <w:i w:val="0"/>
                <w:color w:val="79242A"/>
                <w:sz w:val="18"/>
              </w:rPr>
              <w:t>System and purpose</w:t>
            </w:r>
          </w:p>
          <w:p>
            <w:r>
              <w:rPr>
                <w:rFonts w:ascii="Georgia" w:hAnsi="Georgia"/>
                <w:b w:val="0"/>
                <w:i w:val="0"/>
                <w:color w:val="262626"/>
                <w:sz w:val="19"/>
              </w:rPr>
              <w:t>The exact AI system, use, and document access are authorized.</w:t>
            </w:r>
          </w:p>
        </w:tc>
      </w:tr>
    </w:tbl>
    <w:p>
      <w:pPr>
        <w:spacing w:after="0"/>
      </w:pPr>
    </w:p>
    <w:tbl>
      <w:tblPr>
        <w:tblW w:type="dxa" w:w="9900"/>
        <w:jc w:val="left"/>
        <w:tblLayout w:type="fixed"/>
        <w:tblLook w:firstColumn="1" w:firstRow="1" w:lastColumn="0" w:lastRow="0" w:noHBand="0" w:noVBand="1" w:val="04A0"/>
        <w:tblInd w:w="180" w:type="dxa"/>
        <w:tblBorders>
          <w:top w:val="nil"/>
          <w:left w:val="nil"/>
          <w:bottom w:val="nil"/>
          <w:right w:val="nil"/>
          <w:insideH w:val="nil"/>
          <w:insideV w:val="nil"/>
        </w:tblBorders>
      </w:tblPr>
      <w:tblGrid>
        <w:gridCol w:w="1150"/>
        <w:gridCol w:w="8750"/>
      </w:tblGrid>
      <w:tr>
        <w:tc>
          <w:tcPr>
            <w:tcW w:type="dxa" w:w="1150"/>
            <w:tcMar>
              <w:top w:w="150" w:type="dxa"/>
              <w:start w:w="180" w:type="dxa"/>
              <w:bottom w:w="150" w:type="dxa"/>
              <w:end w:w="180" w:type="dxa"/>
            </w:tcMar>
            <w:vAlign w:val="center"/>
            <w:shd w:fill="79242A"/>
          </w:tcPr>
          <w:p>
            <w:pPr>
              <w:jc w:val="center"/>
            </w:pPr>
            <w:r>
              <w:rPr>
                <w:rFonts w:ascii="Georgia" w:hAnsi="Georgia"/>
                <w:b/>
                <w:i w:val="0"/>
                <w:color w:val="FFFFFF"/>
                <w:sz w:val="40"/>
              </w:rPr>
              <w:t>02</w:t>
            </w:r>
          </w:p>
        </w:tc>
        <w:tc>
          <w:tcPr>
            <w:tcW w:type="dxa" w:w="8750"/>
            <w:tcMar>
              <w:top w:w="150" w:type="dxa"/>
              <w:start w:w="180" w:type="dxa"/>
              <w:bottom w:w="150" w:type="dxa"/>
              <w:end w:w="180" w:type="dxa"/>
            </w:tcMar>
            <w:vAlign w:val="center"/>
            <w:shd w:fill="F7F3E9"/>
          </w:tcPr>
          <w:p>
            <w:r>
              <w:rPr>
                <w:rFonts w:ascii="Arial" w:hAnsi="Arial"/>
                <w:b/>
                <w:i w:val="0"/>
                <w:color w:val="79242A"/>
                <w:sz w:val="18"/>
              </w:rPr>
              <w:t>Information</w:t>
            </w:r>
          </w:p>
          <w:p>
            <w:r>
              <w:rPr>
                <w:rFonts w:ascii="Georgia" w:hAnsi="Georgia"/>
                <w:b w:val="0"/>
                <w:i w:val="0"/>
                <w:color w:val="262626"/>
                <w:sz w:val="19"/>
              </w:rPr>
              <w:t>The material is genuinely non-identifying, non-sensitive, and policy-permitted.</w:t>
            </w:r>
          </w:p>
        </w:tc>
      </w:tr>
    </w:tbl>
    <w:p>
      <w:pPr>
        <w:spacing w:after="0"/>
      </w:pPr>
    </w:p>
    <w:tbl>
      <w:tblPr>
        <w:tblW w:type="dxa" w:w="9900"/>
        <w:jc w:val="left"/>
        <w:tblLayout w:type="fixed"/>
        <w:tblLook w:firstColumn="1" w:firstRow="1" w:lastColumn="0" w:lastRow="0" w:noHBand="0" w:noVBand="1" w:val="04A0"/>
        <w:tblInd w:w="180" w:type="dxa"/>
        <w:tblBorders>
          <w:top w:val="nil"/>
          <w:left w:val="nil"/>
          <w:bottom w:val="nil"/>
          <w:right w:val="nil"/>
          <w:insideH w:val="nil"/>
          <w:insideV w:val="nil"/>
        </w:tblBorders>
      </w:tblPr>
      <w:tblGrid>
        <w:gridCol w:w="1150"/>
        <w:gridCol w:w="8750"/>
      </w:tblGrid>
      <w:tr>
        <w:tc>
          <w:tcPr>
            <w:tcW w:type="dxa" w:w="1150"/>
            <w:tcMar>
              <w:top w:w="150" w:type="dxa"/>
              <w:start w:w="180" w:type="dxa"/>
              <w:bottom w:w="150" w:type="dxa"/>
              <w:end w:w="180" w:type="dxa"/>
            </w:tcMar>
            <w:vAlign w:val="center"/>
            <w:shd w:fill="79242A"/>
          </w:tcPr>
          <w:p>
            <w:pPr>
              <w:jc w:val="center"/>
            </w:pPr>
            <w:r>
              <w:rPr>
                <w:rFonts w:ascii="Georgia" w:hAnsi="Georgia"/>
                <w:b/>
                <w:i w:val="0"/>
                <w:color w:val="FFFFFF"/>
                <w:sz w:val="40"/>
              </w:rPr>
              <w:t>03</w:t>
            </w:r>
          </w:p>
        </w:tc>
        <w:tc>
          <w:tcPr>
            <w:tcW w:type="dxa" w:w="8750"/>
            <w:tcMar>
              <w:top w:w="150" w:type="dxa"/>
              <w:start w:w="180" w:type="dxa"/>
              <w:bottom w:w="150" w:type="dxa"/>
              <w:end w:w="180" w:type="dxa"/>
            </w:tcMar>
            <w:vAlign w:val="center"/>
            <w:shd w:fill="F7F3E9"/>
          </w:tcPr>
          <w:p>
            <w:r>
              <w:rPr>
                <w:rFonts w:ascii="Arial" w:hAnsi="Arial"/>
                <w:b/>
                <w:i w:val="0"/>
                <w:color w:val="79242A"/>
                <w:sz w:val="18"/>
              </w:rPr>
              <w:t>Human review</w:t>
            </w:r>
          </w:p>
          <w:p>
            <w:r>
              <w:rPr>
                <w:rFonts w:ascii="Georgia" w:hAnsi="Georgia"/>
                <w:b w:val="0"/>
                <w:i w:val="0"/>
                <w:color w:val="262626"/>
                <w:sz w:val="19"/>
              </w:rPr>
              <w:t>You reviewed the extract yourself and accept responsibility for what is shared and decided.</w:t>
            </w:r>
          </w:p>
        </w:tc>
      </w:tr>
    </w:tbl>
    <w:p>
      <w:pPr>
        <w:spacing w:after="0"/>
      </w:pP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4E8E6"/>
          </w:tcPr>
          <w:p>
            <w:pPr>
              <w:spacing w:after="120"/>
            </w:pPr>
            <w:r>
              <w:rPr>
                <w:rFonts w:ascii="Arial" w:hAnsi="Arial"/>
                <w:b/>
                <w:i w:val="0"/>
                <w:color w:val="79242A"/>
                <w:sz w:val="18"/>
              </w:rPr>
              <w:t>WHEN ONE GATE FAILS</w:t>
            </w:r>
          </w:p>
          <w:p>
            <w:pPr>
              <w:spacing w:after="0" w:line="269" w:lineRule="auto"/>
            </w:pPr>
            <w:r>
              <w:rPr>
                <w:rFonts w:ascii="Georgia" w:hAnsi="Georgia"/>
                <w:b w:val="0"/>
                <w:i w:val="0"/>
                <w:color w:val="262626"/>
                <w:sz w:val="20"/>
              </w:rPr>
              <w:t>Stop. Keep the work in the authorized human process. The safer route is not a lesser route.</w:t>
            </w:r>
          </w:p>
        </w:tc>
      </w:tr>
    </w:tbl>
    <w:p>
      <w:pPr>
        <w:spacing w:after="0"/>
      </w:pPr>
    </w:p>
    <w:p>
      <w:pPr>
        <w:keepNext/>
        <w:spacing w:before="220" w:after="140"/>
      </w:pPr>
      <w:r>
        <w:rPr>
          <w:rFonts w:ascii="Arial" w:hAnsi="Arial"/>
          <w:b/>
          <w:i w:val="0"/>
          <w:color w:val="262626"/>
          <w:sz w:val="21"/>
        </w:rPr>
        <w:t>Never include</w:t>
      </w:r>
    </w:p>
    <w:p>
      <w:pPr>
        <w:pStyle w:val="ListBullet"/>
        <w:spacing w:after="100" w:line="259" w:lineRule="auto"/>
        <w:ind w:left="403" w:hanging="259"/>
      </w:pPr>
      <w:r>
        <w:rPr>
          <w:rFonts w:ascii="Georgia" w:hAnsi="Georgia"/>
          <w:b w:val="0"/>
          <w:i w:val="0"/>
          <w:color w:val="262626"/>
          <w:sz w:val="19"/>
        </w:rPr>
        <w:t>Names, nicknames, pseudonyms, traceable learner codes, faces, voices, contact details, or identifiable combinations.</w:t>
      </w:r>
    </w:p>
    <w:p>
      <w:pPr>
        <w:pStyle w:val="ListBullet"/>
        <w:spacing w:after="100" w:line="259" w:lineRule="auto"/>
        <w:ind w:left="403" w:hanging="259"/>
      </w:pPr>
      <w:r>
        <w:rPr>
          <w:rFonts w:ascii="Georgia" w:hAnsi="Georgia"/>
          <w:b w:val="0"/>
          <w:i w:val="0"/>
          <w:color w:val="262626"/>
          <w:sz w:val="19"/>
        </w:rPr>
        <w:t>Confidential records, safeguarding information, diagnoses, wellbeing or medical details.</w:t>
      </w:r>
    </w:p>
    <w:p>
      <w:pPr>
        <w:pStyle w:val="ListBullet"/>
        <w:spacing w:after="100" w:line="259" w:lineRule="auto"/>
        <w:ind w:left="403" w:hanging="259"/>
      </w:pPr>
      <w:r>
        <w:rPr>
          <w:rFonts w:ascii="Georgia" w:hAnsi="Georgia"/>
          <w:b w:val="0"/>
          <w:i w:val="0"/>
          <w:color w:val="262626"/>
          <w:sz w:val="19"/>
        </w:rPr>
        <w:t>Private colleague, learner, athlete, family, or staff comments.</w:t>
      </w:r>
    </w:p>
    <w:p>
      <w:pPr>
        <w:pStyle w:val="ListBullet"/>
        <w:spacing w:after="100" w:line="259" w:lineRule="auto"/>
        <w:ind w:left="403" w:hanging="259"/>
      </w:pPr>
      <w:r>
        <w:rPr>
          <w:rFonts w:ascii="Georgia" w:hAnsi="Georgia"/>
          <w:b w:val="0"/>
          <w:i w:val="0"/>
          <w:color w:val="262626"/>
          <w:sz w:val="19"/>
        </w:rPr>
        <w:t>Personality profiles, inferred motives, inner states, or AI-assigned identities.</w:t>
      </w:r>
    </w:p>
    <w:p>
      <w:pPr>
        <w:pStyle w:val="ListBullet"/>
        <w:spacing w:after="100" w:line="259" w:lineRule="auto"/>
        <w:ind w:left="403" w:hanging="259"/>
      </w:pPr>
      <w:r>
        <w:rPr>
          <w:rFonts w:ascii="Georgia" w:hAnsi="Georgia"/>
          <w:b w:val="0"/>
          <w:i w:val="0"/>
          <w:color w:val="262626"/>
          <w:sz w:val="19"/>
        </w:rPr>
        <w:t>Material used to decide discipline, placement, employment, diagnosis, or another high-stakes outcome.</w:t>
      </w:r>
    </w:p>
    <w:p>
      <w:r>
        <w:br w:type="page"/>
      </w:r>
    </w:p>
    <w:p>
      <w:pPr>
        <w:spacing w:before="0" w:after="200"/>
      </w:pPr>
      <w:r>
        <w:rPr>
          <w:rFonts w:ascii="Arial" w:hAnsi="Arial"/>
          <w:b/>
          <w:i w:val="0"/>
          <w:color w:val="A88945"/>
          <w:sz w:val="15"/>
        </w:rPr>
        <w:t>ACCOUNTABILITY</w:t>
      </w:r>
    </w:p>
    <w:p>
      <w:pPr>
        <w:keepNext/>
        <w:spacing w:before="0" w:after="280"/>
      </w:pPr>
      <w:r>
        <w:rPr>
          <w:rFonts w:ascii="Georgia" w:hAnsi="Georgia"/>
          <w:b/>
          <w:i w:val="0"/>
          <w:color w:val="79242A"/>
          <w:sz w:val="64"/>
        </w:rPr>
        <w:t>The Human Check</w:t>
      </w:r>
    </w:p>
    <w:p>
      <w:pPr>
        <w:spacing w:after="280" w:line="271" w:lineRule="auto"/>
      </w:pPr>
      <w:r>
        <w:rPr>
          <w:rFonts w:ascii="Georgia" w:hAnsi="Georgia"/>
          <w:b w:val="0"/>
          <w:i w:val="0"/>
          <w:color w:val="262626"/>
          <w:sz w:val="22"/>
        </w:rPr>
        <w:t>A disciplined prompt may improve an answer. It cannot guarantee truth. Accountability begins when the person using the answer refuses to hide behind the system.</w:t>
      </w: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7F3E9"/>
          </w:tcPr>
          <w:p>
            <w:pPr>
              <w:spacing w:after="120"/>
            </w:pPr>
            <w:r>
              <w:rPr>
                <w:rFonts w:ascii="Arial" w:hAnsi="Arial"/>
                <w:b/>
                <w:i w:val="0"/>
                <w:color w:val="79242A"/>
                <w:sz w:val="18"/>
              </w:rPr>
              <w:t>CHALLENGE</w:t>
            </w:r>
          </w:p>
          <w:p>
            <w:pPr>
              <w:spacing w:after="0" w:line="269" w:lineRule="auto"/>
            </w:pPr>
            <w:r>
              <w:rPr>
                <w:rFonts w:ascii="Georgia" w:hAnsi="Georgia"/>
                <w:b w:val="0"/>
                <w:i w:val="0"/>
                <w:color w:val="262626"/>
                <w:sz w:val="20"/>
              </w:rPr>
              <w:t>What may be wrong, missing, unfair, overconfident, or too easy?</w:t>
            </w:r>
          </w:p>
        </w:tc>
      </w:tr>
    </w:tbl>
    <w:p>
      <w:pPr>
        <w:spacing w:after="0"/>
      </w:pP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EEE7DC"/>
          </w:tcPr>
          <w:p>
            <w:pPr>
              <w:spacing w:after="120"/>
            </w:pPr>
            <w:r>
              <w:rPr>
                <w:rFonts w:ascii="Arial" w:hAnsi="Arial"/>
                <w:b/>
                <w:i w:val="0"/>
                <w:color w:val="79242A"/>
                <w:sz w:val="18"/>
              </w:rPr>
              <w:t>VERIFY</w:t>
            </w:r>
          </w:p>
          <w:p>
            <w:pPr>
              <w:spacing w:after="0" w:line="269" w:lineRule="auto"/>
            </w:pPr>
            <w:r>
              <w:rPr>
                <w:rFonts w:ascii="Georgia" w:hAnsi="Georgia"/>
                <w:b w:val="0"/>
                <w:i w:val="0"/>
                <w:color w:val="262626"/>
                <w:sz w:val="20"/>
              </w:rPr>
              <w:t>What important claim have I checked independently, and with what source or evidence?</w:t>
            </w:r>
          </w:p>
        </w:tc>
      </w:tr>
    </w:tbl>
    <w:p>
      <w:pPr>
        <w:spacing w:after="0"/>
      </w:pP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7F3E9"/>
          </w:tcPr>
          <w:p>
            <w:pPr>
              <w:spacing w:after="120"/>
            </w:pPr>
            <w:r>
              <w:rPr>
                <w:rFonts w:ascii="Arial" w:hAnsi="Arial"/>
                <w:b/>
                <w:i w:val="0"/>
                <w:color w:val="79242A"/>
                <w:sz w:val="18"/>
              </w:rPr>
              <w:t>DECIDE</w:t>
            </w:r>
          </w:p>
          <w:p>
            <w:pPr>
              <w:spacing w:after="0" w:line="269" w:lineRule="auto"/>
            </w:pPr>
            <w:r>
              <w:rPr>
                <w:rFonts w:ascii="Georgia" w:hAnsi="Georgia"/>
                <w:b w:val="0"/>
                <w:i w:val="0"/>
                <w:color w:val="262626"/>
                <w:sz w:val="20"/>
              </w:rPr>
              <w:t>What will I accept, revise, or reject, and who owns the final choice?</w:t>
            </w:r>
          </w:p>
        </w:tc>
      </w:tr>
    </w:tbl>
    <w:p>
      <w:pPr>
        <w:spacing w:after="0"/>
      </w:pP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EEE7DC"/>
          </w:tcPr>
          <w:p>
            <w:pPr>
              <w:spacing w:after="120"/>
            </w:pPr>
            <w:r>
              <w:rPr>
                <w:rFonts w:ascii="Arial" w:hAnsi="Arial"/>
                <w:b/>
                <w:i w:val="0"/>
                <w:color w:val="79242A"/>
                <w:sz w:val="18"/>
              </w:rPr>
              <w:t>REVIEW</w:t>
            </w:r>
          </w:p>
          <w:p>
            <w:pPr>
              <w:spacing w:after="0" w:line="269" w:lineRule="auto"/>
            </w:pPr>
            <w:r>
              <w:rPr>
                <w:rFonts w:ascii="Georgia" w:hAnsi="Georgia"/>
                <w:b w:val="0"/>
                <w:i w:val="0"/>
                <w:color w:val="262626"/>
                <w:sz w:val="20"/>
              </w:rPr>
              <w:t>When will I revisit the decision, and what new evidence will be allowed to correct it?</w:t>
            </w:r>
          </w:p>
        </w:tc>
      </w:tr>
    </w:tbl>
    <w:p>
      <w:pPr>
        <w:spacing w:after="0"/>
      </w:pPr>
    </w:p>
    <w:p>
      <w:pPr>
        <w:spacing w:after="160" w:line="271" w:lineRule="auto"/>
      </w:pPr>
      <w:r>
        <w:rPr>
          <w:rFonts w:ascii="Georgia" w:hAnsi="Georgia"/>
          <w:b w:val="0"/>
          <w:i/>
          <w:color w:val="262626"/>
          <w:sz w:val="22"/>
        </w:rPr>
        <w:t>The goal is not a system that never fails. The goal is a practice that notices failure sooner, corrects it more honestly, and protects people while learning.</w:t>
      </w:r>
    </w:p>
    <w:p>
      <w:r>
        <w:br w:type="page"/>
      </w:r>
    </w:p>
    <w:p>
      <w:pPr>
        <w:spacing w:before="0" w:after="200"/>
      </w:pPr>
      <w:r>
        <w:rPr>
          <w:rFonts w:ascii="Arial" w:hAnsi="Arial"/>
          <w:b/>
          <w:i w:val="0"/>
          <w:color w:val="A88945"/>
          <w:sz w:val="15"/>
        </w:rPr>
        <w:t>ENTER THE STUDIO</w:t>
      </w:r>
    </w:p>
    <w:p>
      <w:pPr>
        <w:keepNext/>
        <w:spacing w:before="0" w:after="280"/>
      </w:pPr>
      <w:r>
        <w:rPr>
          <w:rFonts w:ascii="Georgia" w:hAnsi="Georgia"/>
          <w:b/>
          <w:i w:val="0"/>
          <w:color w:val="79242A"/>
          <w:sz w:val="64"/>
        </w:rPr>
        <w:t>Begin with one honest question.</w:t>
      </w:r>
    </w:p>
    <w:p>
      <w:pPr>
        <w:spacing w:after="360" w:line="271" w:lineRule="auto"/>
      </w:pPr>
      <w:r>
        <w:rPr>
          <w:rFonts w:ascii="Georgia" w:hAnsi="Georgia"/>
          <w:b w:val="0"/>
          <w:i w:val="0"/>
          <w:color w:val="262626"/>
          <w:sz w:val="23"/>
        </w:rPr>
        <w:t>You do not need to complete every page. You do not need to automate every reflection. Begin where the work is alive, then let evidence, perspective, and disciplined care teach you what the next move requires.</w:t>
      </w:r>
    </w:p>
    <w:tbl>
      <w:tblPr>
        <w:tblW w:type="dxa" w:w="9900"/>
        <w:jc w:val="left"/>
        <w:tblLayout w:type="fixed"/>
        <w:tblLook w:firstColumn="1" w:firstRow="1" w:lastColumn="0" w:lastRow="0" w:noHBand="0" w:noVBand="1" w:val="04A0"/>
        <w:tblInd w:w="180" w:type="dxa"/>
        <w:tblBorders>
          <w:top w:val="nil"/>
          <w:left w:val="nil"/>
          <w:bottom w:val="nil"/>
          <w:right w:val="nil"/>
          <w:insideH w:val="nil"/>
          <w:insideV w:val="nil"/>
        </w:tblBorders>
      </w:tblPr>
      <w:tblGrid>
        <w:gridCol w:w="3500"/>
        <w:gridCol w:w="6400"/>
      </w:tblGrid>
      <w:tr>
        <w:tc>
          <w:tcPr>
            <w:tcW w:type="dxa" w:w="3500"/>
            <w:tcMar>
              <w:top w:w="150" w:type="dxa"/>
              <w:start w:w="180" w:type="dxa"/>
              <w:bottom w:w="150" w:type="dxa"/>
              <w:end w:w="180" w:type="dxa"/>
            </w:tcMar>
            <w:vAlign w:val="center"/>
            <w:shd w:fill="F7F3E9"/>
          </w:tcPr>
          <w:p>
            <w:pPr>
              <w:jc w:val="center"/>
            </w:pPr>
            <w:r>
              <w:drawing>
                <wp:inline xmlns:a="http://schemas.openxmlformats.org/drawingml/2006/main" xmlns:pic="http://schemas.openxmlformats.org/drawingml/2006/picture">
                  <wp:extent cx="1691640" cy="1691640"/>
                  <wp:docPr id="1" name="Practice Studio resources QR code" title="Practice Studio resources QR code" descr="QR code linking to Pham's author-controlled Resources page"/>
                  <wp:cNvGraphicFramePr>
                    <a:graphicFrameLocks noChangeAspect="1"/>
                  </wp:cNvGraphicFramePr>
                  <a:graphic>
                    <a:graphicData uri="http://schemas.openxmlformats.org/drawingml/2006/picture">
                      <pic:pic>
                        <pic:nvPicPr>
                          <pic:cNvPr id="0" name="human-potential-practice-studio-qr.png"/>
                          <pic:cNvPicPr/>
                        </pic:nvPicPr>
                        <pic:blipFill>
                          <a:blip r:embed="rId11"/>
                          <a:stretch>
                            <a:fillRect/>
                          </a:stretch>
                        </pic:blipFill>
                        <pic:spPr>
                          <a:xfrm>
                            <a:off x="0" y="0"/>
                            <a:ext cx="1691640" cy="1691640"/>
                          </a:xfrm>
                          <a:prstGeom prst="rect"/>
                        </pic:spPr>
                      </pic:pic>
                    </a:graphicData>
                  </a:graphic>
                </wp:inline>
              </w:drawing>
            </w:r>
          </w:p>
          <w:p>
            <w:pPr>
              <w:jc w:val="center"/>
            </w:pPr>
            <w:r>
              <w:rPr>
                <w:rFonts w:ascii="Arial" w:hAnsi="Arial"/>
                <w:b/>
                <w:i w:val="0"/>
                <w:color w:val="79242A"/>
                <w:sz w:val="14"/>
              </w:rPr>
              <w:t>SCAN TO CONTINUE</w:t>
            </w:r>
          </w:p>
        </w:tc>
        <w:tc>
          <w:tcPr>
            <w:tcW w:type="dxa" w:w="6400"/>
            <w:tcMar>
              <w:top w:w="150" w:type="dxa"/>
              <w:start w:w="180" w:type="dxa"/>
              <w:bottom w:w="150" w:type="dxa"/>
              <w:end w:w="180" w:type="dxa"/>
            </w:tcMar>
            <w:vAlign w:val="center"/>
            <w:shd w:fill="F4E8E6"/>
          </w:tcPr>
          <w:p>
            <w:r>
              <w:rPr>
                <w:rFonts w:ascii="Arial" w:hAnsi="Arial"/>
                <w:b/>
                <w:i w:val="0"/>
                <w:color w:val="79242A"/>
                <w:sz w:val="15"/>
              </w:rPr>
              <w:t>THE PERMANENT DOORWAY</w:t>
            </w:r>
          </w:p>
          <w:p>
            <w:pPr>
              <w:spacing w:before="280"/>
            </w:pPr>
            <w:r>
              <w:rPr>
                <w:rFonts w:ascii="Georgia" w:hAnsi="Georgia"/>
                <w:b w:val="0"/>
                <w:i w:val="0"/>
                <w:color w:val="262626"/>
                <w:sz w:val="22"/>
              </w:rPr>
              <w:t>The author-controlled Resources page keeps the book connected to the latest released companion materials.</w:t>
            </w:r>
          </w:p>
          <w:p>
            <w:pPr>
              <w:spacing w:before="200"/>
            </w:pPr>
            <w:hyperlink r:id="rId12">
              <w:r>
                <w:rPr>
                  <w:color w:val="79242A"/>
                  <w:u w:val="single"/>
                </w:rPr>
                <w:t>https://kp3-pham.github.io/#resources</w:t>
              </w:r>
            </w:hyperlink>
          </w:p>
        </w:tc>
      </w:tr>
    </w:tbl>
    <w:p>
      <w:pPr>
        <w:spacing w:after="0"/>
      </w:pPr>
    </w:p>
    <w:tbl>
      <w:tblPr>
        <w:tblW w:type="dxa" w:w="9900"/>
        <w:jc w:val="left"/>
        <w:tblLayout w:type="fixed"/>
        <w:tblLook w:firstColumn="1" w:firstRow="1" w:lastColumn="0" w:lastRow="0" w:noHBand="0" w:noVBand="1" w:val="04A0"/>
        <w:tblInd w:w="230" w:type="dxa"/>
        <w:tblBorders>
          <w:top w:val="nil"/>
          <w:left w:val="nil"/>
          <w:bottom w:val="nil"/>
          <w:right w:val="nil"/>
          <w:insideH w:val="nil"/>
          <w:insideV w:val="nil"/>
        </w:tblBorders>
      </w:tblPr>
      <w:tblGrid>
        <w:gridCol w:w="9900"/>
      </w:tblGrid>
      <w:tr>
        <w:tc>
          <w:tcPr>
            <w:tcW w:type="dxa" w:w="9900"/>
            <w:tcMar>
              <w:top w:w="190" w:type="dxa"/>
              <w:start w:w="230" w:type="dxa"/>
              <w:bottom w:w="190" w:type="dxa"/>
              <w:end w:w="230" w:type="dxa"/>
            </w:tcMar>
            <w:vAlign w:val="center"/>
            <w:shd w:fill="F7F3E9"/>
          </w:tcPr>
          <w:p>
            <w:pPr>
              <w:spacing w:after="120"/>
            </w:pPr>
            <w:r>
              <w:rPr>
                <w:rFonts w:ascii="Arial" w:hAnsi="Arial"/>
                <w:b/>
                <w:i w:val="0"/>
                <w:color w:val="79242A"/>
                <w:sz w:val="18"/>
              </w:rPr>
              <w:t>THE FINAL STANDARD</w:t>
            </w:r>
          </w:p>
          <w:p>
            <w:pPr>
              <w:spacing w:after="0" w:line="269" w:lineRule="auto"/>
            </w:pPr>
            <w:r>
              <w:rPr>
                <w:rFonts w:ascii="Georgia" w:hAnsi="Georgia"/>
                <w:b w:val="0"/>
                <w:i w:val="0"/>
                <w:color w:val="262626"/>
                <w:sz w:val="20"/>
              </w:rPr>
              <w:t>AI may widen the map. The human being remains responsible for the route, the people affected, and the meaning of the journey.</w:t>
            </w:r>
          </w:p>
        </w:tc>
      </w:tr>
    </w:tbl>
    <w:p>
      <w:pPr>
        <w:spacing w:after="0"/>
      </w:pPr>
    </w:p>
    <w:p>
      <w:pPr>
        <w:spacing w:after="0" w:line="271" w:lineRule="auto"/>
      </w:pPr>
      <w:r>
        <w:rPr>
          <w:rFonts w:ascii="Georgia" w:hAnsi="Georgia"/>
          <w:b w:val="0"/>
          <w:i w:val="0"/>
          <w:color w:val="262626"/>
          <w:sz w:val="17"/>
        </w:rPr>
        <w:t>An independent resource by Pham. It is not affiliated with or endorsed by any school, employer, curriculum provider, standards body, or educational organization.</w:t>
      </w:r>
    </w:p>
    <w:sectPr w:rsidR="00FC693F" w:rsidRPr="0006063C" w:rsidSect="00034616">
      <w:headerReference w:type="default" r:id="rId9"/>
      <w:footerReference w:type="default" r:id="rId10"/>
      <w:pgSz w:w="12240" w:h="15840"/>
      <w:pgMar w:top="979"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5D5A55"/>
        <w:sz w:val="16"/>
      </w:rPr>
      <w:t xml:space="preserve">PHAM  •  </w:t>
    </w:r>
    <w:r>
      <w:rPr>
        <w:rFonts w:ascii="Georgia" w:hAnsi="Georgia"/>
        <w:b/>
        <w:i w:val="0"/>
        <w:color w:val="79242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5" w:space="4" w:color="C8C0B3"/>
      </w:pBdr>
    </w:pPr>
    <w:r>
      <w:rPr>
        <w:rFonts w:ascii="Arial" w:hAnsi="Arial"/>
        <w:b/>
        <w:i w:val="0"/>
        <w:color w:val="5D5A55"/>
        <w:sz w:val="15"/>
      </w:rPr>
      <w:t>THE HUMAN POTENTIAL PRACTICE STUDIO  •  READER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Georgia" w:hAnsi="Georgia"/>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p3-pham.github.io/#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Potential Practice Studio — Reader Guide</dc:title>
  <dc:subject>Companion guide to The Warrior Teacher's Playbook</dc:subject>
  <dc:creator>Pham</dc:creator>
  <cp:keywords>human potential, reflection, teaching, leadership, human-AI partnership</cp:keywords>
  <dc:description>generated by python-docx</dc:description>
  <cp:lastModifiedBy/>
  <cp:revision>1</cp:revision>
  <dcterms:created xsi:type="dcterms:W3CDTF">2013-12-23T23:15:00Z</dcterms:created>
  <dcterms:modified xsi:type="dcterms:W3CDTF">2013-12-23T23:15:00Z</dcterms:modified>
  <cp:category/>
</cp:coreProperties>
</file>