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D148" w14:textId="68FBBA5D" w:rsidR="004B4BB4" w:rsidRPr="004934CF" w:rsidRDefault="004934CF" w:rsidP="004B4BB4">
      <w:pPr>
        <w:rPr>
          <w:b/>
          <w:bCs/>
          <w:noProof/>
          <w:lang w:val="el-GR"/>
        </w:rPr>
      </w:pPr>
      <w:r>
        <w:rPr>
          <w:b/>
          <w:bCs/>
          <w:noProof/>
          <w:lang w:val="el-GR"/>
        </w:rPr>
        <w:t>Κωνσταντίνος Περίφανος 03120134</w:t>
      </w:r>
    </w:p>
    <w:p w14:paraId="0FD2421B" w14:textId="77777777" w:rsidR="004B4BB4" w:rsidRDefault="004B4BB4" w:rsidP="004C42D7"/>
    <w:p w14:paraId="0A8FFD0B" w14:textId="77777777" w:rsidR="00997412" w:rsidRPr="005A082D" w:rsidRDefault="00997412" w:rsidP="004C42D7">
      <w:pPr>
        <w:rPr>
          <w:lang w:val="el-GR"/>
        </w:rPr>
      </w:pPr>
    </w:p>
    <w:p w14:paraId="6A00890B" w14:textId="77777777" w:rsidR="00997412" w:rsidRDefault="00997412" w:rsidP="004C42D7"/>
    <w:p w14:paraId="407F9530" w14:textId="77777777" w:rsidR="00997412" w:rsidRDefault="00997412" w:rsidP="004C42D7"/>
    <w:sdt>
      <w:sdtPr>
        <w:rPr>
          <w:rFonts w:asciiTheme="minorHAnsi" w:eastAsiaTheme="minorHAnsi" w:hAnsiTheme="minorHAnsi" w:cstheme="minorBidi"/>
          <w:color w:val="auto"/>
          <w:kern w:val="2"/>
          <w:sz w:val="24"/>
          <w:szCs w:val="24"/>
          <w14:ligatures w14:val="standardContextual"/>
        </w:rPr>
        <w:id w:val="-490564756"/>
        <w:docPartObj>
          <w:docPartGallery w:val="Table of Contents"/>
          <w:docPartUnique/>
        </w:docPartObj>
      </w:sdtPr>
      <w:sdtEndPr>
        <w:rPr>
          <w:b/>
          <w:bCs/>
          <w:noProof/>
        </w:rPr>
      </w:sdtEndPr>
      <w:sdtContent>
        <w:p w14:paraId="49601842" w14:textId="77777777" w:rsidR="00997412" w:rsidRDefault="00997412" w:rsidP="00997412">
          <w:pPr>
            <w:pStyle w:val="TOCHeading"/>
          </w:pPr>
          <w:r>
            <w:t>Table of Contents</w:t>
          </w:r>
        </w:p>
        <w:p w14:paraId="7BF69B82" w14:textId="61819043" w:rsidR="005242BB" w:rsidRDefault="00997412">
          <w:pPr>
            <w:pStyle w:val="TOC3"/>
            <w:tabs>
              <w:tab w:val="left" w:pos="960"/>
              <w:tab w:val="right" w:leader="dot" w:pos="9350"/>
            </w:tabs>
            <w:rPr>
              <w:rFonts w:eastAsiaTheme="minorEastAsia"/>
              <w:noProof/>
            </w:rPr>
          </w:pPr>
          <w:r>
            <w:fldChar w:fldCharType="begin"/>
          </w:r>
          <w:r>
            <w:instrText xml:space="preserve"> TOC \o "1-3" \h \z \u </w:instrText>
          </w:r>
          <w:r>
            <w:fldChar w:fldCharType="separate"/>
          </w:r>
          <w:hyperlink w:anchor="_Toc194937947" w:history="1">
            <w:r w:rsidR="005242BB" w:rsidRPr="000D7844">
              <w:rPr>
                <w:rStyle w:val="Hyperlink"/>
                <w:noProof/>
              </w:rPr>
              <w:t>1</w:t>
            </w:r>
            <w:r w:rsidR="005242BB">
              <w:rPr>
                <w:rFonts w:eastAsiaTheme="minorEastAsia"/>
                <w:noProof/>
              </w:rPr>
              <w:tab/>
            </w:r>
            <w:r w:rsidR="005242BB" w:rsidRPr="000D7844">
              <w:rPr>
                <w:rStyle w:val="Hyperlink"/>
                <w:noProof/>
              </w:rPr>
              <w:t>Thesis goal</w:t>
            </w:r>
            <w:r w:rsidR="005242BB">
              <w:rPr>
                <w:noProof/>
                <w:webHidden/>
              </w:rPr>
              <w:tab/>
            </w:r>
            <w:r w:rsidR="005242BB">
              <w:rPr>
                <w:noProof/>
                <w:webHidden/>
              </w:rPr>
              <w:fldChar w:fldCharType="begin"/>
            </w:r>
            <w:r w:rsidR="005242BB">
              <w:rPr>
                <w:noProof/>
                <w:webHidden/>
              </w:rPr>
              <w:instrText xml:space="preserve"> PAGEREF _Toc194937947 \h </w:instrText>
            </w:r>
            <w:r w:rsidR="005242BB">
              <w:rPr>
                <w:noProof/>
                <w:webHidden/>
              </w:rPr>
            </w:r>
            <w:r w:rsidR="005242BB">
              <w:rPr>
                <w:noProof/>
                <w:webHidden/>
              </w:rPr>
              <w:fldChar w:fldCharType="separate"/>
            </w:r>
            <w:r w:rsidR="005242BB">
              <w:rPr>
                <w:noProof/>
                <w:webHidden/>
              </w:rPr>
              <w:t>2</w:t>
            </w:r>
            <w:r w:rsidR="005242BB">
              <w:rPr>
                <w:noProof/>
                <w:webHidden/>
              </w:rPr>
              <w:fldChar w:fldCharType="end"/>
            </w:r>
          </w:hyperlink>
        </w:p>
        <w:p w14:paraId="3EB8D332" w14:textId="1CA03520" w:rsidR="005242BB" w:rsidRDefault="005242BB">
          <w:pPr>
            <w:pStyle w:val="TOC3"/>
            <w:tabs>
              <w:tab w:val="left" w:pos="1200"/>
              <w:tab w:val="right" w:leader="dot" w:pos="9350"/>
            </w:tabs>
            <w:rPr>
              <w:rFonts w:eastAsiaTheme="minorEastAsia"/>
              <w:noProof/>
            </w:rPr>
          </w:pPr>
          <w:hyperlink w:anchor="_Toc194937948" w:history="1">
            <w:r w:rsidRPr="000D7844">
              <w:rPr>
                <w:rStyle w:val="Hyperlink"/>
                <w:noProof/>
              </w:rPr>
              <w:t>1.2</w:t>
            </w:r>
            <w:r>
              <w:rPr>
                <w:rFonts w:eastAsiaTheme="minorEastAsia"/>
                <w:noProof/>
              </w:rPr>
              <w:tab/>
            </w:r>
            <w:r w:rsidRPr="000D7844">
              <w:rPr>
                <w:rStyle w:val="Hyperlink"/>
                <w:noProof/>
              </w:rPr>
              <w:t>Thesis Structure</w:t>
            </w:r>
            <w:r>
              <w:rPr>
                <w:noProof/>
                <w:webHidden/>
              </w:rPr>
              <w:tab/>
            </w:r>
            <w:r>
              <w:rPr>
                <w:noProof/>
                <w:webHidden/>
              </w:rPr>
              <w:fldChar w:fldCharType="begin"/>
            </w:r>
            <w:r>
              <w:rPr>
                <w:noProof/>
                <w:webHidden/>
              </w:rPr>
              <w:instrText xml:space="preserve"> PAGEREF _Toc194937948 \h </w:instrText>
            </w:r>
            <w:r>
              <w:rPr>
                <w:noProof/>
                <w:webHidden/>
              </w:rPr>
            </w:r>
            <w:r>
              <w:rPr>
                <w:noProof/>
                <w:webHidden/>
              </w:rPr>
              <w:fldChar w:fldCharType="separate"/>
            </w:r>
            <w:r>
              <w:rPr>
                <w:noProof/>
                <w:webHidden/>
              </w:rPr>
              <w:t>2</w:t>
            </w:r>
            <w:r>
              <w:rPr>
                <w:noProof/>
                <w:webHidden/>
              </w:rPr>
              <w:fldChar w:fldCharType="end"/>
            </w:r>
          </w:hyperlink>
        </w:p>
        <w:p w14:paraId="538B0080" w14:textId="32A78D11" w:rsidR="005242BB" w:rsidRDefault="005242BB">
          <w:pPr>
            <w:pStyle w:val="TOC3"/>
            <w:tabs>
              <w:tab w:val="left" w:pos="960"/>
              <w:tab w:val="right" w:leader="dot" w:pos="9350"/>
            </w:tabs>
            <w:rPr>
              <w:rFonts w:eastAsiaTheme="minorEastAsia"/>
              <w:noProof/>
            </w:rPr>
          </w:pPr>
          <w:hyperlink w:anchor="_Toc194937949" w:history="1">
            <w:r w:rsidRPr="000D7844">
              <w:rPr>
                <w:rStyle w:val="Hyperlink"/>
                <w:noProof/>
              </w:rPr>
              <w:t>2</w:t>
            </w:r>
            <w:r>
              <w:rPr>
                <w:rFonts w:eastAsiaTheme="minorEastAsia"/>
                <w:noProof/>
              </w:rPr>
              <w:tab/>
            </w:r>
            <w:r w:rsidRPr="000D7844">
              <w:rPr>
                <w:rStyle w:val="Hyperlink"/>
                <w:noProof/>
              </w:rPr>
              <w:t>Timeseries</w:t>
            </w:r>
            <w:r>
              <w:rPr>
                <w:noProof/>
                <w:webHidden/>
              </w:rPr>
              <w:tab/>
            </w:r>
            <w:r>
              <w:rPr>
                <w:noProof/>
                <w:webHidden/>
              </w:rPr>
              <w:fldChar w:fldCharType="begin"/>
            </w:r>
            <w:r>
              <w:rPr>
                <w:noProof/>
                <w:webHidden/>
              </w:rPr>
              <w:instrText xml:space="preserve"> PAGEREF _Toc194937949 \h </w:instrText>
            </w:r>
            <w:r>
              <w:rPr>
                <w:noProof/>
                <w:webHidden/>
              </w:rPr>
            </w:r>
            <w:r>
              <w:rPr>
                <w:noProof/>
                <w:webHidden/>
              </w:rPr>
              <w:fldChar w:fldCharType="separate"/>
            </w:r>
            <w:r>
              <w:rPr>
                <w:noProof/>
                <w:webHidden/>
              </w:rPr>
              <w:t>2</w:t>
            </w:r>
            <w:r>
              <w:rPr>
                <w:noProof/>
                <w:webHidden/>
              </w:rPr>
              <w:fldChar w:fldCharType="end"/>
            </w:r>
          </w:hyperlink>
        </w:p>
        <w:p w14:paraId="169F1874" w14:textId="2B63382A" w:rsidR="005242BB" w:rsidRDefault="005242BB">
          <w:pPr>
            <w:pStyle w:val="TOC3"/>
            <w:tabs>
              <w:tab w:val="left" w:pos="1200"/>
              <w:tab w:val="right" w:leader="dot" w:pos="9350"/>
            </w:tabs>
            <w:rPr>
              <w:rFonts w:eastAsiaTheme="minorEastAsia"/>
              <w:noProof/>
            </w:rPr>
          </w:pPr>
          <w:hyperlink w:anchor="_Toc194937950" w:history="1">
            <w:r w:rsidRPr="000D7844">
              <w:rPr>
                <w:rStyle w:val="Hyperlink"/>
                <w:noProof/>
              </w:rPr>
              <w:t>2.1</w:t>
            </w:r>
            <w:r>
              <w:rPr>
                <w:rFonts w:eastAsiaTheme="minorEastAsia"/>
                <w:noProof/>
              </w:rPr>
              <w:tab/>
            </w:r>
            <w:r w:rsidRPr="000D7844">
              <w:rPr>
                <w:rStyle w:val="Hyperlink"/>
                <w:noProof/>
              </w:rPr>
              <w:t>Timeseries definition</w:t>
            </w:r>
            <w:r>
              <w:rPr>
                <w:noProof/>
                <w:webHidden/>
              </w:rPr>
              <w:tab/>
            </w:r>
            <w:r>
              <w:rPr>
                <w:noProof/>
                <w:webHidden/>
              </w:rPr>
              <w:fldChar w:fldCharType="begin"/>
            </w:r>
            <w:r>
              <w:rPr>
                <w:noProof/>
                <w:webHidden/>
              </w:rPr>
              <w:instrText xml:space="preserve"> PAGEREF _Toc194937950 \h </w:instrText>
            </w:r>
            <w:r>
              <w:rPr>
                <w:noProof/>
                <w:webHidden/>
              </w:rPr>
            </w:r>
            <w:r>
              <w:rPr>
                <w:noProof/>
                <w:webHidden/>
              </w:rPr>
              <w:fldChar w:fldCharType="separate"/>
            </w:r>
            <w:r>
              <w:rPr>
                <w:noProof/>
                <w:webHidden/>
              </w:rPr>
              <w:t>3</w:t>
            </w:r>
            <w:r>
              <w:rPr>
                <w:noProof/>
                <w:webHidden/>
              </w:rPr>
              <w:fldChar w:fldCharType="end"/>
            </w:r>
          </w:hyperlink>
        </w:p>
        <w:p w14:paraId="7079C778" w14:textId="5E4CFF3A" w:rsidR="005242BB" w:rsidRDefault="005242BB">
          <w:pPr>
            <w:pStyle w:val="TOC3"/>
            <w:tabs>
              <w:tab w:val="left" w:pos="960"/>
              <w:tab w:val="right" w:leader="dot" w:pos="9350"/>
            </w:tabs>
            <w:rPr>
              <w:rFonts w:eastAsiaTheme="minorEastAsia"/>
              <w:noProof/>
            </w:rPr>
          </w:pPr>
          <w:hyperlink w:anchor="_Toc194937951" w:history="1">
            <w:r w:rsidRPr="000D7844">
              <w:rPr>
                <w:rStyle w:val="Hyperlink"/>
                <w:noProof/>
              </w:rPr>
              <w:t>3</w:t>
            </w:r>
            <w:r>
              <w:rPr>
                <w:rFonts w:eastAsiaTheme="minorEastAsia"/>
                <w:noProof/>
              </w:rPr>
              <w:tab/>
            </w:r>
            <w:r w:rsidRPr="000D7844">
              <w:rPr>
                <w:rStyle w:val="Hyperlink"/>
                <w:noProof/>
              </w:rPr>
              <w:t>Comfort</w:t>
            </w:r>
            <w:r>
              <w:rPr>
                <w:noProof/>
                <w:webHidden/>
              </w:rPr>
              <w:tab/>
            </w:r>
            <w:r>
              <w:rPr>
                <w:noProof/>
                <w:webHidden/>
              </w:rPr>
              <w:fldChar w:fldCharType="begin"/>
            </w:r>
            <w:r>
              <w:rPr>
                <w:noProof/>
                <w:webHidden/>
              </w:rPr>
              <w:instrText xml:space="preserve"> PAGEREF _Toc194937951 \h </w:instrText>
            </w:r>
            <w:r>
              <w:rPr>
                <w:noProof/>
                <w:webHidden/>
              </w:rPr>
            </w:r>
            <w:r>
              <w:rPr>
                <w:noProof/>
                <w:webHidden/>
              </w:rPr>
              <w:fldChar w:fldCharType="separate"/>
            </w:r>
            <w:r>
              <w:rPr>
                <w:noProof/>
                <w:webHidden/>
              </w:rPr>
              <w:t>3</w:t>
            </w:r>
            <w:r>
              <w:rPr>
                <w:noProof/>
                <w:webHidden/>
              </w:rPr>
              <w:fldChar w:fldCharType="end"/>
            </w:r>
          </w:hyperlink>
        </w:p>
        <w:p w14:paraId="0AE642AE" w14:textId="0742B071" w:rsidR="005242BB" w:rsidRDefault="005242BB">
          <w:pPr>
            <w:pStyle w:val="TOC3"/>
            <w:tabs>
              <w:tab w:val="left" w:pos="1200"/>
              <w:tab w:val="right" w:leader="dot" w:pos="9350"/>
            </w:tabs>
            <w:rPr>
              <w:rFonts w:eastAsiaTheme="minorEastAsia"/>
              <w:noProof/>
            </w:rPr>
          </w:pPr>
          <w:hyperlink w:anchor="_Toc194937952" w:history="1">
            <w:r w:rsidRPr="000D7844">
              <w:rPr>
                <w:rStyle w:val="Hyperlink"/>
                <w:noProof/>
              </w:rPr>
              <w:t>3.1</w:t>
            </w:r>
            <w:r>
              <w:rPr>
                <w:rFonts w:eastAsiaTheme="minorEastAsia"/>
                <w:noProof/>
              </w:rPr>
              <w:tab/>
            </w:r>
            <w:r w:rsidRPr="000D7844">
              <w:rPr>
                <w:rStyle w:val="Hyperlink"/>
                <w:noProof/>
              </w:rPr>
              <w:t>Definition</w:t>
            </w:r>
            <w:r>
              <w:rPr>
                <w:noProof/>
                <w:webHidden/>
              </w:rPr>
              <w:tab/>
            </w:r>
            <w:r>
              <w:rPr>
                <w:noProof/>
                <w:webHidden/>
              </w:rPr>
              <w:fldChar w:fldCharType="begin"/>
            </w:r>
            <w:r>
              <w:rPr>
                <w:noProof/>
                <w:webHidden/>
              </w:rPr>
              <w:instrText xml:space="preserve"> PAGEREF _Toc194937952 \h </w:instrText>
            </w:r>
            <w:r>
              <w:rPr>
                <w:noProof/>
                <w:webHidden/>
              </w:rPr>
            </w:r>
            <w:r>
              <w:rPr>
                <w:noProof/>
                <w:webHidden/>
              </w:rPr>
              <w:fldChar w:fldCharType="separate"/>
            </w:r>
            <w:r>
              <w:rPr>
                <w:noProof/>
                <w:webHidden/>
              </w:rPr>
              <w:t>3</w:t>
            </w:r>
            <w:r>
              <w:rPr>
                <w:noProof/>
                <w:webHidden/>
              </w:rPr>
              <w:fldChar w:fldCharType="end"/>
            </w:r>
          </w:hyperlink>
        </w:p>
        <w:p w14:paraId="3E98B8E5" w14:textId="4BCD4BF5" w:rsidR="005242BB" w:rsidRDefault="005242BB">
          <w:pPr>
            <w:pStyle w:val="TOC3"/>
            <w:tabs>
              <w:tab w:val="left" w:pos="1200"/>
              <w:tab w:val="right" w:leader="dot" w:pos="9350"/>
            </w:tabs>
            <w:rPr>
              <w:rFonts w:eastAsiaTheme="minorEastAsia"/>
              <w:noProof/>
            </w:rPr>
          </w:pPr>
          <w:hyperlink w:anchor="_Toc194937953" w:history="1">
            <w:r w:rsidRPr="000D7844">
              <w:rPr>
                <w:rStyle w:val="Hyperlink"/>
                <w:noProof/>
              </w:rPr>
              <w:t xml:space="preserve">3.2 </w:t>
            </w:r>
            <w:r>
              <w:rPr>
                <w:rFonts w:eastAsiaTheme="minorEastAsia"/>
                <w:noProof/>
              </w:rPr>
              <w:tab/>
            </w:r>
            <w:r w:rsidRPr="000D7844">
              <w:rPr>
                <w:rStyle w:val="Hyperlink"/>
                <w:noProof/>
              </w:rPr>
              <w:t>Thermal Comfort</w:t>
            </w:r>
            <w:r>
              <w:rPr>
                <w:noProof/>
                <w:webHidden/>
              </w:rPr>
              <w:tab/>
            </w:r>
            <w:r>
              <w:rPr>
                <w:noProof/>
                <w:webHidden/>
              </w:rPr>
              <w:fldChar w:fldCharType="begin"/>
            </w:r>
            <w:r>
              <w:rPr>
                <w:noProof/>
                <w:webHidden/>
              </w:rPr>
              <w:instrText xml:space="preserve"> PAGEREF _Toc194937953 \h </w:instrText>
            </w:r>
            <w:r>
              <w:rPr>
                <w:noProof/>
                <w:webHidden/>
              </w:rPr>
            </w:r>
            <w:r>
              <w:rPr>
                <w:noProof/>
                <w:webHidden/>
              </w:rPr>
              <w:fldChar w:fldCharType="separate"/>
            </w:r>
            <w:r>
              <w:rPr>
                <w:noProof/>
                <w:webHidden/>
              </w:rPr>
              <w:t>3</w:t>
            </w:r>
            <w:r>
              <w:rPr>
                <w:noProof/>
                <w:webHidden/>
              </w:rPr>
              <w:fldChar w:fldCharType="end"/>
            </w:r>
          </w:hyperlink>
        </w:p>
        <w:p w14:paraId="03F9FF10" w14:textId="5517B0D0" w:rsidR="005242BB" w:rsidRDefault="005242BB">
          <w:pPr>
            <w:pStyle w:val="TOC3"/>
            <w:tabs>
              <w:tab w:val="left" w:pos="1200"/>
              <w:tab w:val="right" w:leader="dot" w:pos="9350"/>
            </w:tabs>
            <w:rPr>
              <w:rFonts w:eastAsiaTheme="minorEastAsia"/>
              <w:noProof/>
            </w:rPr>
          </w:pPr>
          <w:hyperlink w:anchor="_Toc194937954" w:history="1">
            <w:r w:rsidRPr="000D7844">
              <w:rPr>
                <w:rStyle w:val="Hyperlink"/>
                <w:noProof/>
              </w:rPr>
              <w:t>3.3</w:t>
            </w:r>
            <w:r>
              <w:rPr>
                <w:rFonts w:eastAsiaTheme="minorEastAsia"/>
                <w:noProof/>
              </w:rPr>
              <w:tab/>
            </w:r>
            <w:r w:rsidRPr="000D7844">
              <w:rPr>
                <w:rStyle w:val="Hyperlink"/>
                <w:noProof/>
              </w:rPr>
              <w:t>Indoor Air Quality (IAQ)</w:t>
            </w:r>
            <w:r>
              <w:rPr>
                <w:noProof/>
                <w:webHidden/>
              </w:rPr>
              <w:tab/>
            </w:r>
            <w:r>
              <w:rPr>
                <w:noProof/>
                <w:webHidden/>
              </w:rPr>
              <w:fldChar w:fldCharType="begin"/>
            </w:r>
            <w:r>
              <w:rPr>
                <w:noProof/>
                <w:webHidden/>
              </w:rPr>
              <w:instrText xml:space="preserve"> PAGEREF _Toc194937954 \h </w:instrText>
            </w:r>
            <w:r>
              <w:rPr>
                <w:noProof/>
                <w:webHidden/>
              </w:rPr>
            </w:r>
            <w:r>
              <w:rPr>
                <w:noProof/>
                <w:webHidden/>
              </w:rPr>
              <w:fldChar w:fldCharType="separate"/>
            </w:r>
            <w:r>
              <w:rPr>
                <w:noProof/>
                <w:webHidden/>
              </w:rPr>
              <w:t>4</w:t>
            </w:r>
            <w:r>
              <w:rPr>
                <w:noProof/>
                <w:webHidden/>
              </w:rPr>
              <w:fldChar w:fldCharType="end"/>
            </w:r>
          </w:hyperlink>
        </w:p>
        <w:p w14:paraId="28BAC26F" w14:textId="18CF916A" w:rsidR="005242BB" w:rsidRDefault="005242BB">
          <w:pPr>
            <w:pStyle w:val="TOC3"/>
            <w:tabs>
              <w:tab w:val="left" w:pos="1200"/>
              <w:tab w:val="right" w:leader="dot" w:pos="9350"/>
            </w:tabs>
            <w:rPr>
              <w:rFonts w:eastAsiaTheme="minorEastAsia"/>
              <w:noProof/>
            </w:rPr>
          </w:pPr>
          <w:hyperlink w:anchor="_Toc194937955" w:history="1">
            <w:r w:rsidRPr="000D7844">
              <w:rPr>
                <w:rStyle w:val="Hyperlink"/>
                <w:noProof/>
              </w:rPr>
              <w:t>3.4</w:t>
            </w:r>
            <w:r>
              <w:rPr>
                <w:rFonts w:eastAsiaTheme="minorEastAsia"/>
                <w:noProof/>
              </w:rPr>
              <w:tab/>
            </w:r>
            <w:r w:rsidRPr="000D7844">
              <w:rPr>
                <w:rStyle w:val="Hyperlink"/>
                <w:noProof/>
              </w:rPr>
              <w:t>Acoustic Comfort</w:t>
            </w:r>
            <w:r>
              <w:rPr>
                <w:noProof/>
                <w:webHidden/>
              </w:rPr>
              <w:tab/>
            </w:r>
            <w:r>
              <w:rPr>
                <w:noProof/>
                <w:webHidden/>
              </w:rPr>
              <w:fldChar w:fldCharType="begin"/>
            </w:r>
            <w:r>
              <w:rPr>
                <w:noProof/>
                <w:webHidden/>
              </w:rPr>
              <w:instrText xml:space="preserve"> PAGEREF _Toc194937955 \h </w:instrText>
            </w:r>
            <w:r>
              <w:rPr>
                <w:noProof/>
                <w:webHidden/>
              </w:rPr>
            </w:r>
            <w:r>
              <w:rPr>
                <w:noProof/>
                <w:webHidden/>
              </w:rPr>
              <w:fldChar w:fldCharType="separate"/>
            </w:r>
            <w:r>
              <w:rPr>
                <w:noProof/>
                <w:webHidden/>
              </w:rPr>
              <w:t>5</w:t>
            </w:r>
            <w:r>
              <w:rPr>
                <w:noProof/>
                <w:webHidden/>
              </w:rPr>
              <w:fldChar w:fldCharType="end"/>
            </w:r>
          </w:hyperlink>
        </w:p>
        <w:p w14:paraId="1FC1E9F4" w14:textId="50781E34" w:rsidR="005242BB" w:rsidRDefault="005242BB">
          <w:pPr>
            <w:pStyle w:val="TOC3"/>
            <w:tabs>
              <w:tab w:val="left" w:pos="1200"/>
              <w:tab w:val="right" w:leader="dot" w:pos="9350"/>
            </w:tabs>
            <w:rPr>
              <w:rFonts w:eastAsiaTheme="minorEastAsia"/>
              <w:noProof/>
            </w:rPr>
          </w:pPr>
          <w:hyperlink w:anchor="_Toc194937956" w:history="1">
            <w:r w:rsidRPr="000D7844">
              <w:rPr>
                <w:rStyle w:val="Hyperlink"/>
                <w:noProof/>
              </w:rPr>
              <w:t>3.5</w:t>
            </w:r>
            <w:r>
              <w:rPr>
                <w:rFonts w:eastAsiaTheme="minorEastAsia"/>
                <w:noProof/>
              </w:rPr>
              <w:tab/>
            </w:r>
            <w:r w:rsidRPr="000D7844">
              <w:rPr>
                <w:rStyle w:val="Hyperlink"/>
                <w:noProof/>
              </w:rPr>
              <w:t>Visual Comfort</w:t>
            </w:r>
            <w:r>
              <w:rPr>
                <w:noProof/>
                <w:webHidden/>
              </w:rPr>
              <w:tab/>
            </w:r>
            <w:r>
              <w:rPr>
                <w:noProof/>
                <w:webHidden/>
              </w:rPr>
              <w:fldChar w:fldCharType="begin"/>
            </w:r>
            <w:r>
              <w:rPr>
                <w:noProof/>
                <w:webHidden/>
              </w:rPr>
              <w:instrText xml:space="preserve"> PAGEREF _Toc194937956 \h </w:instrText>
            </w:r>
            <w:r>
              <w:rPr>
                <w:noProof/>
                <w:webHidden/>
              </w:rPr>
            </w:r>
            <w:r>
              <w:rPr>
                <w:noProof/>
                <w:webHidden/>
              </w:rPr>
              <w:fldChar w:fldCharType="separate"/>
            </w:r>
            <w:r>
              <w:rPr>
                <w:noProof/>
                <w:webHidden/>
              </w:rPr>
              <w:t>5</w:t>
            </w:r>
            <w:r>
              <w:rPr>
                <w:noProof/>
                <w:webHidden/>
              </w:rPr>
              <w:fldChar w:fldCharType="end"/>
            </w:r>
          </w:hyperlink>
        </w:p>
        <w:p w14:paraId="6D38F002" w14:textId="51656DE1" w:rsidR="005242BB" w:rsidRDefault="005242BB">
          <w:pPr>
            <w:pStyle w:val="TOC3"/>
            <w:tabs>
              <w:tab w:val="left" w:pos="1200"/>
              <w:tab w:val="right" w:leader="dot" w:pos="9350"/>
            </w:tabs>
            <w:rPr>
              <w:rFonts w:eastAsiaTheme="minorEastAsia"/>
              <w:noProof/>
            </w:rPr>
          </w:pPr>
          <w:hyperlink w:anchor="_Toc194937957" w:history="1">
            <w:r w:rsidRPr="000D7844">
              <w:rPr>
                <w:rStyle w:val="Hyperlink"/>
                <w:noProof/>
              </w:rPr>
              <w:t>3.6</w:t>
            </w:r>
            <w:r>
              <w:rPr>
                <w:rFonts w:eastAsiaTheme="minorEastAsia"/>
                <w:noProof/>
              </w:rPr>
              <w:tab/>
            </w:r>
            <w:r w:rsidRPr="000D7844">
              <w:rPr>
                <w:rStyle w:val="Hyperlink"/>
                <w:noProof/>
              </w:rPr>
              <w:t>Our Study Case</w:t>
            </w:r>
            <w:r>
              <w:rPr>
                <w:noProof/>
                <w:webHidden/>
              </w:rPr>
              <w:tab/>
            </w:r>
            <w:r>
              <w:rPr>
                <w:noProof/>
                <w:webHidden/>
              </w:rPr>
              <w:fldChar w:fldCharType="begin"/>
            </w:r>
            <w:r>
              <w:rPr>
                <w:noProof/>
                <w:webHidden/>
              </w:rPr>
              <w:instrText xml:space="preserve"> PAGEREF _Toc194937957 \h </w:instrText>
            </w:r>
            <w:r>
              <w:rPr>
                <w:noProof/>
                <w:webHidden/>
              </w:rPr>
            </w:r>
            <w:r>
              <w:rPr>
                <w:noProof/>
                <w:webHidden/>
              </w:rPr>
              <w:fldChar w:fldCharType="separate"/>
            </w:r>
            <w:r>
              <w:rPr>
                <w:noProof/>
                <w:webHidden/>
              </w:rPr>
              <w:t>6</w:t>
            </w:r>
            <w:r>
              <w:rPr>
                <w:noProof/>
                <w:webHidden/>
              </w:rPr>
              <w:fldChar w:fldCharType="end"/>
            </w:r>
          </w:hyperlink>
        </w:p>
        <w:p w14:paraId="3C5C69AC" w14:textId="47540BE3" w:rsidR="005242BB" w:rsidRDefault="005242BB">
          <w:pPr>
            <w:pStyle w:val="TOC3"/>
            <w:tabs>
              <w:tab w:val="left" w:pos="960"/>
              <w:tab w:val="right" w:leader="dot" w:pos="9350"/>
            </w:tabs>
            <w:rPr>
              <w:rFonts w:eastAsiaTheme="minorEastAsia"/>
              <w:noProof/>
            </w:rPr>
          </w:pPr>
          <w:hyperlink w:anchor="_Toc194937958" w:history="1">
            <w:r w:rsidRPr="000D7844">
              <w:rPr>
                <w:rStyle w:val="Hyperlink"/>
                <w:noProof/>
              </w:rPr>
              <w:t>4</w:t>
            </w:r>
            <w:r>
              <w:rPr>
                <w:rFonts w:eastAsiaTheme="minorEastAsia"/>
                <w:noProof/>
              </w:rPr>
              <w:tab/>
            </w:r>
            <w:r w:rsidRPr="000D7844">
              <w:rPr>
                <w:rStyle w:val="Hyperlink"/>
                <w:noProof/>
              </w:rPr>
              <w:t>Heat pump disaggregation</w:t>
            </w:r>
            <w:r>
              <w:rPr>
                <w:noProof/>
                <w:webHidden/>
              </w:rPr>
              <w:tab/>
            </w:r>
            <w:r>
              <w:rPr>
                <w:noProof/>
                <w:webHidden/>
              </w:rPr>
              <w:fldChar w:fldCharType="begin"/>
            </w:r>
            <w:r>
              <w:rPr>
                <w:noProof/>
                <w:webHidden/>
              </w:rPr>
              <w:instrText xml:space="preserve"> PAGEREF _Toc194937958 \h </w:instrText>
            </w:r>
            <w:r>
              <w:rPr>
                <w:noProof/>
                <w:webHidden/>
              </w:rPr>
            </w:r>
            <w:r>
              <w:rPr>
                <w:noProof/>
                <w:webHidden/>
              </w:rPr>
              <w:fldChar w:fldCharType="separate"/>
            </w:r>
            <w:r>
              <w:rPr>
                <w:noProof/>
                <w:webHidden/>
              </w:rPr>
              <w:t>11</w:t>
            </w:r>
            <w:r>
              <w:rPr>
                <w:noProof/>
                <w:webHidden/>
              </w:rPr>
              <w:fldChar w:fldCharType="end"/>
            </w:r>
          </w:hyperlink>
        </w:p>
        <w:p w14:paraId="404EC985" w14:textId="4D955C59" w:rsidR="005242BB" w:rsidRDefault="005242BB">
          <w:pPr>
            <w:pStyle w:val="TOC3"/>
            <w:tabs>
              <w:tab w:val="left" w:pos="960"/>
              <w:tab w:val="right" w:leader="dot" w:pos="9350"/>
            </w:tabs>
            <w:rPr>
              <w:rFonts w:eastAsiaTheme="minorEastAsia"/>
              <w:noProof/>
            </w:rPr>
          </w:pPr>
          <w:hyperlink w:anchor="_Toc194937959" w:history="1">
            <w:r w:rsidRPr="000D7844">
              <w:rPr>
                <w:rStyle w:val="Hyperlink"/>
                <w:noProof/>
              </w:rPr>
              <w:t>5</w:t>
            </w:r>
            <w:r>
              <w:rPr>
                <w:rFonts w:eastAsiaTheme="minorEastAsia"/>
                <w:noProof/>
              </w:rPr>
              <w:tab/>
            </w:r>
            <w:r w:rsidRPr="000D7844">
              <w:rPr>
                <w:rStyle w:val="Hyperlink"/>
                <w:noProof/>
              </w:rPr>
              <w:t>Thesis direction – In progress work</w:t>
            </w:r>
            <w:r>
              <w:rPr>
                <w:noProof/>
                <w:webHidden/>
              </w:rPr>
              <w:tab/>
            </w:r>
            <w:r>
              <w:rPr>
                <w:noProof/>
                <w:webHidden/>
              </w:rPr>
              <w:fldChar w:fldCharType="begin"/>
            </w:r>
            <w:r>
              <w:rPr>
                <w:noProof/>
                <w:webHidden/>
              </w:rPr>
              <w:instrText xml:space="preserve"> PAGEREF _Toc194937959 \h </w:instrText>
            </w:r>
            <w:r>
              <w:rPr>
                <w:noProof/>
                <w:webHidden/>
              </w:rPr>
            </w:r>
            <w:r>
              <w:rPr>
                <w:noProof/>
                <w:webHidden/>
              </w:rPr>
              <w:fldChar w:fldCharType="separate"/>
            </w:r>
            <w:r>
              <w:rPr>
                <w:noProof/>
                <w:webHidden/>
              </w:rPr>
              <w:t>14</w:t>
            </w:r>
            <w:r>
              <w:rPr>
                <w:noProof/>
                <w:webHidden/>
              </w:rPr>
              <w:fldChar w:fldCharType="end"/>
            </w:r>
          </w:hyperlink>
        </w:p>
        <w:p w14:paraId="2995CB95" w14:textId="0604A3EF" w:rsidR="005242BB" w:rsidRDefault="005242BB">
          <w:pPr>
            <w:pStyle w:val="TOC1"/>
            <w:tabs>
              <w:tab w:val="right" w:leader="dot" w:pos="9350"/>
            </w:tabs>
            <w:rPr>
              <w:rFonts w:eastAsiaTheme="minorEastAsia"/>
              <w:noProof/>
            </w:rPr>
          </w:pPr>
          <w:hyperlink w:anchor="_Toc194937960" w:history="1">
            <w:r w:rsidRPr="000D7844">
              <w:rPr>
                <w:rStyle w:val="Hyperlink"/>
                <w:noProof/>
              </w:rPr>
              <w:t>Bibliography</w:t>
            </w:r>
            <w:r>
              <w:rPr>
                <w:noProof/>
                <w:webHidden/>
              </w:rPr>
              <w:tab/>
            </w:r>
            <w:r>
              <w:rPr>
                <w:noProof/>
                <w:webHidden/>
              </w:rPr>
              <w:fldChar w:fldCharType="begin"/>
            </w:r>
            <w:r>
              <w:rPr>
                <w:noProof/>
                <w:webHidden/>
              </w:rPr>
              <w:instrText xml:space="preserve"> PAGEREF _Toc194937960 \h </w:instrText>
            </w:r>
            <w:r>
              <w:rPr>
                <w:noProof/>
                <w:webHidden/>
              </w:rPr>
            </w:r>
            <w:r>
              <w:rPr>
                <w:noProof/>
                <w:webHidden/>
              </w:rPr>
              <w:fldChar w:fldCharType="separate"/>
            </w:r>
            <w:r>
              <w:rPr>
                <w:noProof/>
                <w:webHidden/>
              </w:rPr>
              <w:t>14</w:t>
            </w:r>
            <w:r>
              <w:rPr>
                <w:noProof/>
                <w:webHidden/>
              </w:rPr>
              <w:fldChar w:fldCharType="end"/>
            </w:r>
          </w:hyperlink>
        </w:p>
        <w:p w14:paraId="4DAF4AEE" w14:textId="72AFEBEB" w:rsidR="00997412" w:rsidRDefault="00997412" w:rsidP="00997412">
          <w:pPr>
            <w:rPr>
              <w:b/>
              <w:bCs/>
              <w:noProof/>
            </w:rPr>
          </w:pPr>
          <w:r>
            <w:rPr>
              <w:b/>
              <w:bCs/>
              <w:noProof/>
            </w:rPr>
            <w:fldChar w:fldCharType="end"/>
          </w:r>
        </w:p>
      </w:sdtContent>
    </w:sdt>
    <w:p w14:paraId="5ECEA51F" w14:textId="77777777" w:rsidR="00997412" w:rsidRDefault="00997412" w:rsidP="004C42D7"/>
    <w:p w14:paraId="2157C48F" w14:textId="77777777" w:rsidR="00997412" w:rsidRDefault="00997412" w:rsidP="004C42D7"/>
    <w:p w14:paraId="6BD211CC" w14:textId="77777777" w:rsidR="00997412" w:rsidRDefault="00997412" w:rsidP="004C42D7"/>
    <w:p w14:paraId="145E9C60" w14:textId="77777777" w:rsidR="00997412" w:rsidRDefault="00997412" w:rsidP="004C42D7"/>
    <w:p w14:paraId="3FE117FE" w14:textId="77777777" w:rsidR="00997412" w:rsidRDefault="00997412" w:rsidP="004C42D7"/>
    <w:p w14:paraId="30A766DE" w14:textId="77777777" w:rsidR="00997412" w:rsidRDefault="00997412" w:rsidP="004C42D7"/>
    <w:p w14:paraId="7550EFBC" w14:textId="77777777" w:rsidR="00997412" w:rsidRDefault="00997412" w:rsidP="004C42D7"/>
    <w:p w14:paraId="1C5368E2" w14:textId="77777777" w:rsidR="00997412" w:rsidRDefault="00997412" w:rsidP="004C42D7"/>
    <w:p w14:paraId="69E115F0" w14:textId="77777777" w:rsidR="00997412" w:rsidRDefault="00997412" w:rsidP="004C42D7"/>
    <w:p w14:paraId="71863956" w14:textId="77777777" w:rsidR="00997412" w:rsidRDefault="00997412" w:rsidP="004C42D7"/>
    <w:p w14:paraId="7D93B852" w14:textId="77777777" w:rsidR="00997412" w:rsidRDefault="00997412" w:rsidP="004C42D7"/>
    <w:p w14:paraId="0CE69E91" w14:textId="062F1F16" w:rsidR="00547A28" w:rsidRDefault="00547A28" w:rsidP="004C42D7">
      <w:pPr>
        <w:pStyle w:val="HeadingBody"/>
      </w:pPr>
      <w:bookmarkStart w:id="0" w:name="_Toc194937947"/>
      <w:r>
        <w:t>Thesis goal</w:t>
      </w:r>
      <w:bookmarkEnd w:id="0"/>
    </w:p>
    <w:p w14:paraId="2D80AFD3" w14:textId="46A7BC56" w:rsidR="00547A28" w:rsidRDefault="00547A28" w:rsidP="00547A28">
      <w:pPr>
        <w:ind w:firstLine="360"/>
        <w:jc w:val="both"/>
      </w:pPr>
      <w:r w:rsidRPr="002B0BD6">
        <w:t xml:space="preserve">The main goal of this thesis is to </w:t>
      </w:r>
      <w:r>
        <w:t>optimize the load scheduling of households and buildings</w:t>
      </w:r>
      <w:r w:rsidR="007E613D">
        <w:t xml:space="preserve"> based on user preference</w:t>
      </w:r>
      <w:r>
        <w:t>, using machine learning and reinforcement learning algorithms, focusing on HVAC load shifting to achieve</w:t>
      </w:r>
      <w:r w:rsidR="007E613D">
        <w:t xml:space="preserve"> either</w:t>
      </w:r>
      <w:r>
        <w:t>:</w:t>
      </w:r>
    </w:p>
    <w:p w14:paraId="3CE5F9A9" w14:textId="22BE3B2B" w:rsidR="00547A28" w:rsidRDefault="00547A28" w:rsidP="00547A28">
      <w:pPr>
        <w:pStyle w:val="ListParagraph"/>
        <w:numPr>
          <w:ilvl w:val="0"/>
          <w:numId w:val="5"/>
        </w:numPr>
        <w:jc w:val="both"/>
      </w:pPr>
      <w:r>
        <w:t>Maximum comfort for residents, by taking into account temperature indoors, CO</w:t>
      </w:r>
      <w:r>
        <w:rPr>
          <w:vertAlign w:val="subscript"/>
        </w:rPr>
        <w:t xml:space="preserve">2 </w:t>
      </w:r>
      <w:r>
        <w:t>concentration, PM 2.5 levels and relative humidity</w:t>
      </w:r>
      <w:r w:rsidR="007E613D">
        <w:t xml:space="preserve"> or</w:t>
      </w:r>
    </w:p>
    <w:p w14:paraId="5DA79139" w14:textId="77777777" w:rsidR="00547A28" w:rsidRDefault="00547A28" w:rsidP="00547A28">
      <w:pPr>
        <w:pStyle w:val="ListParagraph"/>
        <w:numPr>
          <w:ilvl w:val="0"/>
          <w:numId w:val="5"/>
        </w:numPr>
        <w:jc w:val="both"/>
      </w:pPr>
      <w:r>
        <w:t>Maximize cost savings by utilizing PV energy to its fullest and conserving electricity bills caused by increased grid usage.</w:t>
      </w:r>
    </w:p>
    <w:p w14:paraId="007B26D4" w14:textId="77777777" w:rsidR="00547A28" w:rsidRDefault="00547A28" w:rsidP="00547A28">
      <w:pPr>
        <w:pStyle w:val="ListParagraph"/>
        <w:jc w:val="both"/>
      </w:pPr>
    </w:p>
    <w:p w14:paraId="0F8D54CE" w14:textId="77777777" w:rsidR="00547A28" w:rsidRDefault="00547A28" w:rsidP="00547A28">
      <w:pPr>
        <w:jc w:val="both"/>
      </w:pPr>
      <w:r>
        <w:t>Based on user input the system optimizes either cost savings or comfort for the next day.</w:t>
      </w:r>
    </w:p>
    <w:p w14:paraId="70A3253D" w14:textId="77777777" w:rsidR="00E6156B" w:rsidRDefault="00E6156B" w:rsidP="00547A28">
      <w:pPr>
        <w:jc w:val="both"/>
      </w:pPr>
    </w:p>
    <w:p w14:paraId="4277AC9B" w14:textId="77777777" w:rsidR="00E6156B" w:rsidRDefault="00E6156B" w:rsidP="00E6156B">
      <w:pPr>
        <w:pStyle w:val="SubHeading"/>
      </w:pPr>
      <w:bookmarkStart w:id="1" w:name="_Toc194937948"/>
      <w:r>
        <w:t>1.2</w:t>
      </w:r>
      <w:r>
        <w:tab/>
        <w:t>Thesis Structure</w:t>
      </w:r>
      <w:bookmarkEnd w:id="1"/>
    </w:p>
    <w:p w14:paraId="04258284" w14:textId="77777777" w:rsidR="00E6156B" w:rsidRDefault="00E6156B" w:rsidP="00E6156B">
      <w:pPr>
        <w:jc w:val="both"/>
      </w:pPr>
      <w:r>
        <w:t>The main structure follows an introduction to timeseries analysis, machine learning and neural networks, as well as theoretical foundation about Photovoltaics, comfort metrics and optimization with reinforcement learning and load shifting. Then we move on to our case study and present the methodology employed and the results. The thesis concludes by analyzing the finding and considers future directions.</w:t>
      </w:r>
    </w:p>
    <w:p w14:paraId="50D92DEF" w14:textId="77777777" w:rsidR="00E6156B" w:rsidRDefault="00E6156B" w:rsidP="00E6156B">
      <w:pPr>
        <w:jc w:val="both"/>
      </w:pPr>
    </w:p>
    <w:p w14:paraId="2E0CAB04" w14:textId="77777777" w:rsidR="00E6156B" w:rsidRDefault="00E6156B" w:rsidP="00E6156B">
      <w:pPr>
        <w:pStyle w:val="HeadingBody"/>
      </w:pPr>
      <w:bookmarkStart w:id="2" w:name="_Toc194937949"/>
      <w:r>
        <w:t>Timeseries</w:t>
      </w:r>
      <w:bookmarkEnd w:id="2"/>
    </w:p>
    <w:p w14:paraId="3709809C" w14:textId="77777777" w:rsidR="00E6156B" w:rsidRDefault="00E6156B" w:rsidP="00E6156B">
      <w:pPr>
        <w:ind w:firstLine="435"/>
        <w:jc w:val="both"/>
      </w:pPr>
      <w:r>
        <w:t>In this chapter, we will examine timeseries data, a very important aspect of machine learning and data analysis. We begin by understanding what timeseries is in a fundamental way, while also explaining its various features like seasonality, trends and their effect in forecasting. Then, we will cover various ways to preprocess timeseries data, as well as handling normalization, which is an important step in handling noise and outliers in our data.</w:t>
      </w:r>
    </w:p>
    <w:p w14:paraId="0297B771" w14:textId="77777777" w:rsidR="00E6156B" w:rsidRDefault="00E6156B" w:rsidP="00E6156B"/>
    <w:p w14:paraId="11652A91" w14:textId="77777777" w:rsidR="00E6156B" w:rsidRDefault="00E6156B" w:rsidP="00E6156B">
      <w:pPr>
        <w:pStyle w:val="SubHeading"/>
        <w:numPr>
          <w:ilvl w:val="1"/>
          <w:numId w:val="1"/>
        </w:numPr>
      </w:pPr>
      <w:bookmarkStart w:id="3" w:name="_Toc194937950"/>
      <w:r>
        <w:lastRenderedPageBreak/>
        <w:t>Timeseries definition</w:t>
      </w:r>
      <w:bookmarkEnd w:id="3"/>
    </w:p>
    <w:p w14:paraId="347D356F" w14:textId="36C40EAE" w:rsidR="00E6156B" w:rsidRDefault="00E6156B" w:rsidP="00E6156B">
      <w:r>
        <w:t xml:space="preserve"> </w:t>
      </w:r>
      <w:r w:rsidRPr="001F2D76">
        <w:t>A time series is a sequence of data points that occur in successive order over some period of time.</w:t>
      </w:r>
      <w:r>
        <w:t xml:space="preserve">  </w:t>
      </w:r>
      <w:r w:rsidRPr="0065632A">
        <w:t>Time series analysis is used for non-stationary data—things that are constantly fluctuating over time or are affected by time. Industries like finance, retail, and economics frequently use time series analysis because currency and sales are always changing. Stock market analysis is an excellent example of time series analysis in action, especially with automated trading algorithms. Likewise, time series analysis is ideal for forecasting weather changes, helping meteorologists predict everything from tomorrow’s weather report to future years of climate change.</w:t>
      </w:r>
    </w:p>
    <w:p w14:paraId="155A4AE4" w14:textId="77777777" w:rsidR="00547A28" w:rsidRPr="00547A28" w:rsidRDefault="00547A28" w:rsidP="00547A28">
      <w:pPr>
        <w:pStyle w:val="HeadingBody"/>
        <w:numPr>
          <w:ilvl w:val="0"/>
          <w:numId w:val="0"/>
        </w:numPr>
        <w:ind w:left="435"/>
      </w:pPr>
    </w:p>
    <w:p w14:paraId="606B82C3" w14:textId="150571AC" w:rsidR="004C42D7" w:rsidRDefault="004C42D7" w:rsidP="004C42D7">
      <w:pPr>
        <w:pStyle w:val="HeadingBody"/>
      </w:pPr>
      <w:bookmarkStart w:id="4" w:name="_Toc194937951"/>
      <w:r>
        <w:t>Comfort</w:t>
      </w:r>
      <w:bookmarkEnd w:id="4"/>
    </w:p>
    <w:p w14:paraId="17845261" w14:textId="6CB4BD47" w:rsidR="004C42D7" w:rsidRDefault="00E6156B" w:rsidP="004C42D7">
      <w:pPr>
        <w:pStyle w:val="SubHeading"/>
      </w:pPr>
      <w:bookmarkStart w:id="5" w:name="_Toc194937952"/>
      <w:r>
        <w:t>3</w:t>
      </w:r>
      <w:r w:rsidR="004C42D7">
        <w:t>.1</w:t>
      </w:r>
      <w:r w:rsidR="004C42D7">
        <w:tab/>
        <w:t>Definition</w:t>
      </w:r>
      <w:bookmarkEnd w:id="5"/>
    </w:p>
    <w:p w14:paraId="114D89B6" w14:textId="5ECA3792" w:rsidR="00262F7D" w:rsidRDefault="004C42D7" w:rsidP="004C42D7">
      <w:pPr>
        <w:ind w:firstLine="435"/>
        <w:jc w:val="both"/>
      </w:pPr>
      <w:r>
        <w:t xml:space="preserve">Comfort is a very generic term that might mean something different depending on perspective, </w:t>
      </w:r>
      <w:r w:rsidRPr="002C1079">
        <w:t>though generally defined as a condition of well-being determined by sensorial perceptions in an environment, including temperature, humidity, noise, and brightness</w:t>
      </w:r>
      <w:r w:rsidR="00997412">
        <w:rPr>
          <w:rStyle w:val="EndnoteReference"/>
          <w:rFonts w:ascii="Aptos" w:hAnsi="Aptos"/>
        </w:rPr>
        <w:endnoteReference w:id="1"/>
      </w:r>
      <w:r>
        <w:t>. It is a topic inherently related to indoor environmental quality (IEQ), which affects our health and producti</w:t>
      </w:r>
      <w:r w:rsidR="005A4C08">
        <w:t>vi</w:t>
      </w:r>
      <w:r>
        <w:t>ty. With the development of smart homes, modern research has been emphasizing the importance of balancing occupant satisfaction with energy efficiency.</w:t>
      </w:r>
      <w:r w:rsidR="00E6156B">
        <w:t xml:space="preserve"> In an attempt to quantify comfort for the average person, building standards have set an acceptable range of about 80% or more to be considered </w:t>
      </w:r>
      <w:r w:rsidR="00262F7D">
        <w:t>as</w:t>
      </w:r>
      <w:r w:rsidR="00E6156B">
        <w:t xml:space="preserve"> satisfactory</w:t>
      </w:r>
      <w:r w:rsidR="00262F7D">
        <w:t>. In modern smart buildings, sensors are used to monitor and predict comfort levels in real time, with the help of machine learning to balance energy efficiency and user-centric comfort</w:t>
      </w:r>
      <w:r w:rsidR="00262F7D">
        <w:rPr>
          <w:rStyle w:val="EndnoteReference"/>
        </w:rPr>
        <w:endnoteReference w:id="2"/>
      </w:r>
      <w:r w:rsidR="00262F7D">
        <w:t>.</w:t>
      </w:r>
    </w:p>
    <w:p w14:paraId="4A590571" w14:textId="47B54CBB" w:rsidR="004C42D7" w:rsidRDefault="004C42D7" w:rsidP="00262F7D">
      <w:pPr>
        <w:jc w:val="both"/>
      </w:pPr>
      <w:r>
        <w:t xml:space="preserve"> The four primary categories involved in IEQ are:</w:t>
      </w:r>
    </w:p>
    <w:p w14:paraId="54328E5A" w14:textId="77777777" w:rsidR="004C42D7" w:rsidRDefault="004C42D7" w:rsidP="004C42D7">
      <w:pPr>
        <w:pStyle w:val="ListParagraph"/>
        <w:numPr>
          <w:ilvl w:val="0"/>
          <w:numId w:val="2"/>
        </w:numPr>
        <w:jc w:val="both"/>
      </w:pPr>
      <w:r>
        <w:t>Thermal Comfort</w:t>
      </w:r>
    </w:p>
    <w:p w14:paraId="328BE56B" w14:textId="77777777" w:rsidR="004C42D7" w:rsidRDefault="004C42D7" w:rsidP="004C42D7">
      <w:pPr>
        <w:pStyle w:val="ListParagraph"/>
        <w:numPr>
          <w:ilvl w:val="0"/>
          <w:numId w:val="2"/>
        </w:numPr>
        <w:jc w:val="both"/>
      </w:pPr>
      <w:r>
        <w:t>Indoor air quality (IAQ)</w:t>
      </w:r>
    </w:p>
    <w:p w14:paraId="3BED01BA" w14:textId="77777777" w:rsidR="004C42D7" w:rsidRDefault="004C42D7" w:rsidP="004C42D7">
      <w:pPr>
        <w:pStyle w:val="ListParagraph"/>
        <w:numPr>
          <w:ilvl w:val="0"/>
          <w:numId w:val="2"/>
        </w:numPr>
        <w:jc w:val="both"/>
      </w:pPr>
      <w:r>
        <w:t>Acoustic Comfort</w:t>
      </w:r>
    </w:p>
    <w:p w14:paraId="4B4D1F03" w14:textId="54183C86" w:rsidR="00997412" w:rsidRDefault="004C42D7" w:rsidP="004C42D7">
      <w:pPr>
        <w:pStyle w:val="ListParagraph"/>
        <w:numPr>
          <w:ilvl w:val="0"/>
          <w:numId w:val="2"/>
        </w:numPr>
        <w:jc w:val="both"/>
      </w:pPr>
      <w:r>
        <w:t>Visual Comfort</w:t>
      </w:r>
    </w:p>
    <w:p w14:paraId="68AB9D7D" w14:textId="3C705DCE" w:rsidR="004C42D7" w:rsidRDefault="00E6156B" w:rsidP="004C42D7">
      <w:pPr>
        <w:pStyle w:val="SubHeading"/>
      </w:pPr>
      <w:bookmarkStart w:id="6" w:name="_Toc194937953"/>
      <w:r>
        <w:t>3</w:t>
      </w:r>
      <w:r w:rsidR="004C42D7">
        <w:t xml:space="preserve">.2 </w:t>
      </w:r>
      <w:r w:rsidR="004C42D7">
        <w:tab/>
        <w:t>Thermal Comfort</w:t>
      </w:r>
      <w:bookmarkEnd w:id="6"/>
    </w:p>
    <w:p w14:paraId="558A0DF5" w14:textId="77777777" w:rsidR="00262F7D" w:rsidRDefault="004C42D7" w:rsidP="004C42D7">
      <w:pPr>
        <w:ind w:firstLine="720"/>
        <w:jc w:val="both"/>
      </w:pPr>
      <w:r>
        <w:t>Thermal comfort is defined as "that condition of mind expressing satisfaction with the thermal environment, assessed by subjective evaluation"</w:t>
      </w:r>
      <w:r w:rsidR="00405E3A">
        <w:rPr>
          <w:rStyle w:val="EndnoteReference"/>
        </w:rPr>
        <w:endnoteReference w:id="3"/>
      </w:r>
      <w:r>
        <w:t>. It relies on the interplay between objective variables (air temperature, mean radiant temperature, operating temperature, relative humidity, and air velocity) and subjective variables (individual physical and psychological characteristics, such as clothing and metabolic rate)</w:t>
      </w:r>
      <w:r w:rsidR="00405E3A">
        <w:rPr>
          <w:rStyle w:val="EndnoteReference"/>
        </w:rPr>
        <w:endnoteReference w:id="4"/>
      </w:r>
      <w:r>
        <w:t xml:space="preserve">. </w:t>
      </w:r>
      <w:r w:rsidR="00262F7D" w:rsidRPr="00262F7D">
        <w:t xml:space="preserve">Because of these </w:t>
      </w:r>
      <w:r w:rsidR="00262F7D" w:rsidRPr="00262F7D">
        <w:lastRenderedPageBreak/>
        <w:t>factors, thermal comfort is complex: for example, a lightly clothed person in still air might prefer a warmer temperature than a person in warmer clothing or with a fan blowing.</w:t>
      </w:r>
      <w:r w:rsidR="00262F7D">
        <w:t xml:space="preserve"> </w:t>
      </w:r>
    </w:p>
    <w:p w14:paraId="5191769C" w14:textId="77777777" w:rsidR="00C62C45" w:rsidRDefault="004C42D7" w:rsidP="004C42D7">
      <w:pPr>
        <w:jc w:val="both"/>
        <w:rPr>
          <w:rFonts w:ascii="Arial" w:hAnsi="Arial" w:cs="Arial"/>
        </w:rPr>
      </w:pPr>
      <w:r>
        <w:t>The most prevalent metrics to evaluate thermal comfort are the Predicted Mean Vote (PMV) and Predicted Percentage of Dissatisfied (PPD). PMV</w:t>
      </w:r>
      <w:r w:rsidR="00C62C45">
        <w:t xml:space="preserve">, </w:t>
      </w:r>
      <w:r w:rsidR="00C62C45" w:rsidRPr="00C62C45">
        <w:t>standardized in ISO 7730 and incorporated in ASHRAE 55</w:t>
      </w:r>
      <w:r w:rsidR="00C62C45">
        <w:t>,</w:t>
      </w:r>
      <w:r w:rsidR="00C62C45" w:rsidRPr="00C62C45">
        <w:t xml:space="preserve"> predicts the average thermal sensation vote of a large group of people on a seven-point scale (from -3 = cold, -2 = cool, -1 = slightly cool, 0 = neutral, +1 = slightly warm, +2 = warm, +3 = hot).</w:t>
      </w:r>
      <w:r w:rsidR="00C62C45">
        <w:t xml:space="preserve"> </w:t>
      </w:r>
      <w:r w:rsidR="00C62C45" w:rsidRPr="00C62C45">
        <w:t>Using the environmental and personal factors, the PMV model computes a value on this scale. From PMV, one can derive the Predicted Percentage of Dissatisfied (PPD) – an estimate of what fraction of occupants would be dissatisfied (too hot or too cold) at those conditions. Notably, at PMV = 0 (neutral), there is still a minimum PPD of about 5%, recognizing you can never satisfy everyone</w:t>
      </w:r>
      <w:r w:rsidR="00C62C45" w:rsidRPr="00C62C45">
        <w:rPr>
          <w:rFonts w:ascii="Arial" w:hAnsi="Arial" w:cs="Arial"/>
        </w:rPr>
        <w:t>​</w:t>
      </w:r>
      <w:r w:rsidR="00C62C45">
        <w:rPr>
          <w:rStyle w:val="EndnoteReference"/>
          <w:rFonts w:ascii="Arial" w:hAnsi="Arial" w:cs="Arial"/>
        </w:rPr>
        <w:endnoteReference w:id="5"/>
      </w:r>
      <w:r w:rsidR="00C62C45">
        <w:rPr>
          <w:rFonts w:ascii="Arial" w:hAnsi="Arial" w:cs="Arial"/>
        </w:rPr>
        <w:t xml:space="preserve">. </w:t>
      </w:r>
    </w:p>
    <w:p w14:paraId="2E2622F4" w14:textId="635075D3" w:rsidR="004C42D7" w:rsidRDefault="00C62C45" w:rsidP="004C42D7">
      <w:pPr>
        <w:jc w:val="both"/>
      </w:pPr>
      <w:r>
        <w:rPr>
          <w:rFonts w:ascii="Arial" w:hAnsi="Arial" w:cs="Arial"/>
        </w:rPr>
        <w:t xml:space="preserve">Another important model is the </w:t>
      </w:r>
      <w:r w:rsidR="004C42D7">
        <w:t>Adaptive thermal comfort model</w:t>
      </w:r>
      <w:r w:rsidR="008B6BCA">
        <w:rPr>
          <w:rStyle w:val="EndnoteReference"/>
        </w:rPr>
        <w:endnoteReference w:id="6"/>
      </w:r>
      <w:r>
        <w:t xml:space="preserve">. </w:t>
      </w:r>
      <w:r w:rsidRPr="00C62C45">
        <w:t>The adaptive model is based on field studies showing that people in real buildings can adapt to a wider range of temperatures, especially when they have control (opening windows, adjusting clothing, etc.) and when outdoor conditions influence their expectations. Instead of a fixed temperature range, the adaptive model specifies a comfortable indoor temperature band that shifts with recent outdoor temperatures. For example, ASHRAE 55 adaptive model might allow an indoor temperature of 26–30 °C when the mean outdoor temperature is around 30 °C, whereas on a cooler day the acceptable indoor range would be lower.</w:t>
      </w:r>
      <w:r>
        <w:t xml:space="preserve"> </w:t>
      </w:r>
      <w:r w:rsidRPr="00C62C45">
        <w:t>In residences (especially without air-conditioning), this adaptive approach is very relevant</w:t>
      </w:r>
      <w:r w:rsidR="004F3D63">
        <w:rPr>
          <w:rStyle w:val="EndnoteReference"/>
        </w:rPr>
        <w:endnoteReference w:id="7"/>
      </w:r>
      <w:r w:rsidR="004F3D63">
        <w:t xml:space="preserve"> </w:t>
      </w:r>
      <w:r w:rsidR="004F3D63">
        <w:rPr>
          <w:rStyle w:val="EndnoteReference"/>
        </w:rPr>
        <w:endnoteReference w:id="8"/>
      </w:r>
      <w:r w:rsidR="004C42D7">
        <w:t>.</w:t>
      </w:r>
    </w:p>
    <w:p w14:paraId="0817AFF4" w14:textId="77777777" w:rsidR="004C42D7" w:rsidRDefault="004C42D7" w:rsidP="004C42D7">
      <w:pPr>
        <w:jc w:val="both"/>
      </w:pPr>
    </w:p>
    <w:p w14:paraId="2C1290F3" w14:textId="058185A1" w:rsidR="00817552" w:rsidRDefault="00817552" w:rsidP="00817552">
      <w:pPr>
        <w:pStyle w:val="SubHeading"/>
      </w:pPr>
      <w:bookmarkStart w:id="7" w:name="_Toc194937954"/>
      <w:r>
        <w:t>3.3</w:t>
      </w:r>
      <w:r>
        <w:tab/>
        <w:t>Indoor Air Quality (IAQ)</w:t>
      </w:r>
      <w:bookmarkEnd w:id="7"/>
    </w:p>
    <w:p w14:paraId="1C9B9FD6" w14:textId="3A099180" w:rsidR="00817552" w:rsidRDefault="00817552" w:rsidP="00040051">
      <w:pPr>
        <w:ind w:firstLine="720"/>
      </w:pPr>
      <w:r w:rsidRPr="00817552">
        <w:t>Air quality comfort refers to the occupant’s satisfaction with the freshness and cleanliness of the air. Even if temperature is ideal, stuffy or polluted air can cause discomfort (and health issues). Key factors include CO₂ (carbon dioxide) levels, which are a proxy for human bio-effluent buildup and ventilation effectiveness, and other contaminants like volatile organic compounds (VOCs) from materials and furnishings, particulate matter (dust, PM</w:t>
      </w:r>
      <w:r>
        <w:rPr>
          <w:vertAlign w:val="subscript"/>
        </w:rPr>
        <w:t>2_5</w:t>
      </w:r>
      <w:r w:rsidRPr="00817552">
        <w:t>), humidity (too dry or too humid air), and odors. Good IAQ generally means low concentrations of CO₂ and pollutants, as well as absence of unpleasant odors.</w:t>
      </w:r>
    </w:p>
    <w:p w14:paraId="04D63ACD" w14:textId="751119C5" w:rsidR="00817552" w:rsidRDefault="00817552" w:rsidP="00817552">
      <w:r w:rsidRPr="00817552">
        <w:t>CO₂ itself at typical indoor levels is not a toxic concern, but it correlates with human occupancy and ventilation rate. Historically, 1000 ppm CO₂ has been used as a rule-of-thumb upper limit for “acceptable” indoor air quality in occupied rooms</w:t>
      </w:r>
      <w:r>
        <w:t xml:space="preserve"> (ASHRAE).</w:t>
      </w:r>
    </w:p>
    <w:p w14:paraId="4E14A980" w14:textId="43A9A605" w:rsidR="00040051" w:rsidRDefault="00040051" w:rsidP="00817552">
      <w:r w:rsidRPr="00040051">
        <w:lastRenderedPageBreak/>
        <w:t xml:space="preserve">Another IAQ comfort indicator is the level of </w:t>
      </w:r>
      <w:r w:rsidRPr="00040051">
        <w:rPr>
          <w:b/>
          <w:bCs/>
        </w:rPr>
        <w:t>Volatile Organic Compounds (VOCs)</w:t>
      </w:r>
      <w:r w:rsidRPr="00040051">
        <w:t xml:space="preserve">, which can come from paints, cleaners, plastics, etc., and cause odors or irritation. There isn’t a single unified VOC comfort scale, but guidelines exist for </w:t>
      </w:r>
      <w:r w:rsidRPr="00040051">
        <w:rPr>
          <w:b/>
          <w:bCs/>
        </w:rPr>
        <w:t>total VOC (TVOC)</w:t>
      </w:r>
      <w:r w:rsidRPr="00040051">
        <w:t xml:space="preserve"> concentration. Some health-oriented standards (like the WELL Building Standard or WHO guidelines) suggest keeping TVOC very low (e.g. below 300–500 µg/m³).</w:t>
      </w:r>
    </w:p>
    <w:p w14:paraId="25AFAB7F" w14:textId="76BCA4DF" w:rsidR="00040051" w:rsidRDefault="00040051" w:rsidP="00817552">
      <w:r w:rsidRPr="00040051">
        <w:t>Humidity also plays a role in both thermal comfort and air quality comfort. Too low humidity (&lt; ~30% RH) can cause dry skin and throat, while too high (&gt; ~70% RH) feels stuffy and can promote mold. Standards often recommend keeping indoor relative humidity between 30% and 60% for comfort and health (this range is noted in ASHRAE guidelines). While humidity doesn’t have a “comfort index” of its own, it factors into thermal indices like PMV and into IAQ perception (very humid air can feel “stale”).</w:t>
      </w:r>
    </w:p>
    <w:p w14:paraId="3B6362F3" w14:textId="77777777" w:rsidR="00040051" w:rsidRDefault="00040051" w:rsidP="00817552"/>
    <w:p w14:paraId="0FC5D7CB" w14:textId="7B515D2E" w:rsidR="004C42D7" w:rsidRDefault="00E6156B" w:rsidP="004C42D7">
      <w:pPr>
        <w:pStyle w:val="SubHeading"/>
      </w:pPr>
      <w:bookmarkStart w:id="8" w:name="_Toc194937955"/>
      <w:r>
        <w:t>3</w:t>
      </w:r>
      <w:r w:rsidR="004C42D7">
        <w:t>.</w:t>
      </w:r>
      <w:r w:rsidR="00817552">
        <w:t>4</w:t>
      </w:r>
      <w:r w:rsidR="004C42D7">
        <w:tab/>
        <w:t>Acoustic Comfort</w:t>
      </w:r>
      <w:bookmarkEnd w:id="8"/>
    </w:p>
    <w:p w14:paraId="3DD75272" w14:textId="085E9163" w:rsidR="004C42D7" w:rsidRDefault="00040051" w:rsidP="00040051">
      <w:pPr>
        <w:ind w:firstLine="720"/>
        <w:jc w:val="both"/>
      </w:pPr>
      <w:r w:rsidRPr="00040051">
        <w:t>Acoustic or aural comfort is the satisfaction with the noise levels and sound quality in a space. In a comfortable home, background noise from HVAC, appliances, or outside traffic is low enough not to be disruptive, and the room’s acoustics do not cause excessive echo or muffling of desired sounds. Poor acoustic comfort can come from loud neighbors, echoes in large bare rooms, or constantly buzzing equipment.</w:t>
      </w:r>
    </w:p>
    <w:p w14:paraId="1317F520" w14:textId="1B6F68BF" w:rsidR="00040051" w:rsidRDefault="00040051" w:rsidP="00040051">
      <w:pPr>
        <w:jc w:val="both"/>
      </w:pPr>
      <w:r w:rsidRPr="00040051">
        <w:t xml:space="preserve">The simplest measure is the sound pressure level in dB (decibels), typically A-weighted (dB(A)) to match human hearing sensitivity. Comfortable sound levels depend on the context: </w:t>
      </w:r>
      <w:r w:rsidR="008B6BCA">
        <w:t>bedrooms, living rooms and offices have different standards that are also dependent on time of day.</w:t>
      </w:r>
    </w:p>
    <w:p w14:paraId="0882B104" w14:textId="2A06BBA0" w:rsidR="004C42D7" w:rsidRDefault="00E6156B" w:rsidP="004C42D7">
      <w:pPr>
        <w:pStyle w:val="SubHeading"/>
      </w:pPr>
      <w:bookmarkStart w:id="9" w:name="_Toc194937956"/>
      <w:r>
        <w:t>3</w:t>
      </w:r>
      <w:r w:rsidR="004C42D7">
        <w:t>.</w:t>
      </w:r>
      <w:r w:rsidR="00817552">
        <w:t>5</w:t>
      </w:r>
      <w:r w:rsidR="004C42D7">
        <w:tab/>
        <w:t>Visual Comfort</w:t>
      </w:r>
      <w:bookmarkEnd w:id="9"/>
    </w:p>
    <w:p w14:paraId="4B8C5F8F" w14:textId="3DE37FCC" w:rsidR="004C42D7" w:rsidRDefault="004C42D7" w:rsidP="000C2A7B">
      <w:pPr>
        <w:ind w:firstLine="720"/>
        <w:jc w:val="both"/>
      </w:pPr>
      <w:r w:rsidRPr="00BE74D5">
        <w:t>Visual comfort relates to the appropriate quantity and quality of lighting necessary for occupants to perform tasks effectively without strain or discomfort. It involves managing daylight and artificial illumination to maintain sufficient brightness, uniform distribution, and the avoidance of glare (EN 12665). Metrics commonly employed include Illuminance, Daylight Factor, Color Rendering Index (CRI), Unified Glare Rating (UGR), and luminance ratios. These metrics ensure adequate lighting for visual tasks while minimizing discomfort.</w:t>
      </w:r>
    </w:p>
    <w:p w14:paraId="7A6F1F74" w14:textId="3E3F2090" w:rsidR="00CC3BDB" w:rsidRDefault="00CC3BDB">
      <w:r>
        <w:t>Below are various studies and papers that propose an equation for comfort level extrapolation</w:t>
      </w:r>
    </w:p>
    <w:p w14:paraId="75AC5BC8" w14:textId="25CC1642" w:rsidR="004C42D7" w:rsidRPr="004C42D7" w:rsidRDefault="000C2A7B">
      <w:pPr>
        <w:rPr>
          <w:rFonts w:eastAsiaTheme="minorEastAsia"/>
        </w:rPr>
      </w:pPr>
      <m:oMath>
        <m:r>
          <w:rPr>
            <w:rStyle w:val="EndnoteReference"/>
            <w:rFonts w:ascii="Cambria Math" w:hAnsi="Cambria Math"/>
            <w:i/>
          </w:rPr>
          <w:endnoteReference w:id="9"/>
        </m:r>
        <m:r>
          <w:rPr>
            <w:rFonts w:ascii="Cambria Math" w:hAnsi="Cambria Math"/>
          </w:rPr>
          <m:t xml:space="preserve"> TEQE = 3.44 × lighting + 1.89 × acoustics + 2.29 × thermal + 2.38 × IAQ</m:t>
        </m:r>
      </m:oMath>
      <w:r w:rsidR="004C42D7">
        <w:rPr>
          <w:rFonts w:eastAsiaTheme="minorEastAsia"/>
        </w:rPr>
        <w:t xml:space="preserve"> </w:t>
      </w:r>
    </w:p>
    <w:p w14:paraId="14E064A8" w14:textId="77777777" w:rsidR="000C2A7B" w:rsidRDefault="000C2A7B">
      <w:pPr>
        <w:rPr>
          <w:rFonts w:eastAsiaTheme="minorEastAsia"/>
        </w:rPr>
      </w:pPr>
    </w:p>
    <w:p w14:paraId="3CA3357E" w14:textId="5BA79E09" w:rsidR="004C42D7" w:rsidRPr="004C42D7" w:rsidRDefault="000C2A7B">
      <w:pPr>
        <w:rPr>
          <w:rFonts w:eastAsiaTheme="minorEastAsia"/>
        </w:rPr>
      </w:pPr>
      <m:oMath>
        <m:r>
          <w:rPr>
            <w:rStyle w:val="EndnoteReference"/>
            <w:rFonts w:ascii="Cambria Math" w:eastAsiaTheme="minorEastAsia" w:hAnsi="Cambria Math"/>
            <w:i/>
          </w:rPr>
          <w:lastRenderedPageBreak/>
          <w:endnoteReference w:id="10"/>
        </m:r>
        <m:r>
          <w:rPr>
            <w:rFonts w:ascii="Cambria Math" w:eastAsiaTheme="minorEastAsia" w:hAnsi="Cambria Math"/>
          </w:rPr>
          <m:t xml:space="preserve"> IE</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AHP</m:t>
            </m:r>
          </m:sub>
        </m:sSub>
        <m:r>
          <w:rPr>
            <w:rFonts w:ascii="Cambria Math" w:eastAsiaTheme="minorEastAsia" w:hAnsi="Cambria Math"/>
          </w:rPr>
          <m:t xml:space="preserve">= 0.203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acoustics</m:t>
            </m:r>
          </m:sub>
        </m:sSub>
        <m:r>
          <w:rPr>
            <w:rFonts w:ascii="Cambria Math" w:eastAsiaTheme="minorEastAsia" w:hAnsi="Cambria Math"/>
          </w:rPr>
          <m:t xml:space="preserve">+ 0.164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illumination</m:t>
            </m:r>
          </m:sub>
        </m:sSub>
        <m:r>
          <w:rPr>
            <w:rFonts w:ascii="Cambria Math" w:eastAsiaTheme="minorEastAsia" w:hAnsi="Cambria Math"/>
          </w:rPr>
          <m:t xml:space="preserve">+ 0.208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thermal</m:t>
            </m:r>
          </m:sub>
        </m:sSub>
        <m:r>
          <w:rPr>
            <w:rFonts w:ascii="Cambria Math" w:eastAsiaTheme="minorEastAsia" w:hAnsi="Cambria Math"/>
          </w:rPr>
          <m:t xml:space="preserve">+ 0.290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rPr>
          <m:t xml:space="preserve">+ 0.135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EMF</m:t>
            </m:r>
          </m:sub>
        </m:sSub>
      </m:oMath>
      <w:r w:rsidR="004C42D7">
        <w:rPr>
          <w:rFonts w:eastAsiaTheme="minorEastAsia"/>
        </w:rPr>
        <w:t xml:space="preserve"> </w:t>
      </w:r>
    </w:p>
    <w:p w14:paraId="77C00E2A" w14:textId="77777777" w:rsidR="000C2A7B" w:rsidRDefault="000C2A7B">
      <w:pPr>
        <w:rPr>
          <w:rFonts w:eastAsiaTheme="minorEastAsia"/>
        </w:rPr>
      </w:pPr>
    </w:p>
    <w:p w14:paraId="6D0FD5E8" w14:textId="420D1D29" w:rsidR="004C42D7" w:rsidRDefault="000C2A7B">
      <w:pPr>
        <w:rPr>
          <w:rFonts w:eastAsiaTheme="minorEastAsia"/>
        </w:rPr>
      </w:pPr>
      <m:oMath>
        <m:r>
          <w:rPr>
            <w:rStyle w:val="EndnoteReference"/>
            <w:rFonts w:ascii="Cambria Math" w:eastAsiaTheme="minorEastAsia" w:hAnsi="Cambria Math"/>
            <w:i/>
          </w:rPr>
          <w:endnoteReference w:id="11"/>
        </m:r>
        <m:r>
          <w:rPr>
            <w:rFonts w:ascii="Cambria Math" w:eastAsiaTheme="minorEastAsia" w:hAnsi="Cambria Math"/>
          </w:rPr>
          <m:t xml:space="preserve"> IEI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IAPI + IDI</m:t>
                </m:r>
              </m:e>
            </m:d>
          </m:num>
          <m:den>
            <m:r>
              <w:rPr>
                <w:rFonts w:ascii="Cambria Math" w:eastAsiaTheme="minorEastAsia" w:hAnsi="Cambria Math"/>
              </w:rPr>
              <m:t>2</m:t>
            </m:r>
          </m:den>
        </m:f>
      </m:oMath>
      <w:r w:rsidR="00CC3BDB">
        <w:rPr>
          <w:rFonts w:eastAsiaTheme="minorEastAsia"/>
        </w:rPr>
        <w:t xml:space="preserve"> </w:t>
      </w:r>
    </w:p>
    <w:p w14:paraId="474E15FA" w14:textId="77777777" w:rsidR="000C2A7B" w:rsidRDefault="000C2A7B">
      <w:pPr>
        <w:rPr>
          <w:rFonts w:eastAsiaTheme="minorEastAsia"/>
        </w:rPr>
      </w:pPr>
    </w:p>
    <w:p w14:paraId="766A547C" w14:textId="624699A8" w:rsidR="004C42D7" w:rsidRDefault="000C2A7B">
      <w:pPr>
        <w:rPr>
          <w:rFonts w:eastAsiaTheme="minorEastAsia"/>
        </w:rPr>
      </w:pPr>
      <m:oMath>
        <m:r>
          <w:rPr>
            <w:rStyle w:val="EndnoteReference"/>
            <w:rFonts w:ascii="Cambria Math" w:eastAsiaTheme="minorEastAsia" w:hAnsi="Cambria Math"/>
            <w:i/>
          </w:rPr>
          <w:endnoteReference w:id="12"/>
        </m:r>
        <m:r>
          <w:rPr>
            <w:rFonts w:ascii="Cambria Math" w:eastAsiaTheme="minorEastAsia" w:hAnsi="Cambria Math"/>
          </w:rPr>
          <m:t xml:space="preserve"> I = 1.24 + 0.39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rPr>
          <m:t xml:space="preserve">+ 0.16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m:t>
            </m:r>
          </m:sub>
        </m:sSub>
        <m:r>
          <w:rPr>
            <w:rFonts w:ascii="Cambria Math" w:eastAsiaTheme="minorEastAsia" w:hAnsi="Cambria Math"/>
          </w:rPr>
          <m:t xml:space="preserve">+ 0.12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h</m:t>
            </m:r>
          </m:sub>
        </m:sSub>
        <m:r>
          <w:rPr>
            <w:rFonts w:ascii="Cambria Math" w:eastAsiaTheme="minorEastAsia" w:hAnsi="Cambria Math"/>
          </w:rPr>
          <m:t xml:space="preserve">+ 0.05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rPr>
          <m:t xml:space="preserve">+ 0.13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 xml:space="preserve">+ 0.36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aq</m:t>
            </m:r>
          </m:sub>
        </m:sSub>
      </m:oMath>
      <w:r w:rsidR="004C42D7">
        <w:rPr>
          <w:rFonts w:eastAsiaTheme="minorEastAsia"/>
        </w:rPr>
        <w:t xml:space="preserve"> </w:t>
      </w:r>
    </w:p>
    <w:p w14:paraId="11309E82" w14:textId="77777777" w:rsidR="000C2A7B" w:rsidRDefault="000C2A7B">
      <w:pPr>
        <w:rPr>
          <w:rFonts w:eastAsiaTheme="minorEastAsia"/>
        </w:rPr>
      </w:pPr>
    </w:p>
    <w:p w14:paraId="19F382D7" w14:textId="6897F6DE" w:rsidR="004C42D7" w:rsidRDefault="006A5F00">
      <w:pPr>
        <w:rPr>
          <w:rFonts w:eastAsiaTheme="minorEastAsia"/>
        </w:rPr>
      </w:pPr>
      <m:oMath>
        <m:r>
          <w:rPr>
            <w:rStyle w:val="EndnoteReference"/>
            <w:rFonts w:ascii="Cambria Math" w:eastAsiaTheme="minorEastAsia" w:hAnsi="Cambria Math"/>
            <w:i/>
          </w:rPr>
          <w:endnoteReference w:id="13"/>
        </m:r>
        <m:r>
          <w:rPr>
            <w:rFonts w:ascii="Cambria Math" w:eastAsiaTheme="minorEastAsia" w:hAnsi="Cambria Math"/>
          </w:rPr>
          <m:t xml:space="preserve"> PDIEQ = 0.42 × PDTC + 0.09 × PDIAQ + 0.28 × PDAC</m:t>
        </m:r>
      </m:oMath>
      <w:r w:rsidR="004C42D7">
        <w:rPr>
          <w:rFonts w:eastAsiaTheme="minorEastAsia"/>
        </w:rPr>
        <w:t xml:space="preserve"> </w:t>
      </w:r>
    </w:p>
    <w:p w14:paraId="18EF8BCE" w14:textId="77777777" w:rsidR="006A5F00" w:rsidRDefault="006A5F00">
      <w:pPr>
        <w:rPr>
          <w:rFonts w:eastAsiaTheme="minorEastAsia"/>
        </w:rPr>
      </w:pPr>
    </w:p>
    <w:p w14:paraId="1ADE075A" w14:textId="64C50CC1" w:rsidR="004C42D7" w:rsidRDefault="006A5F00">
      <w:pPr>
        <w:rPr>
          <w:rFonts w:eastAsiaTheme="minorEastAsia"/>
        </w:rPr>
      </w:pPr>
      <m:oMath>
        <m:r>
          <w:rPr>
            <w:rStyle w:val="EndnoteReference"/>
            <w:rFonts w:ascii="Cambria Math" w:eastAsiaTheme="minorEastAsia" w:hAnsi="Cambria Math"/>
            <w:i/>
          </w:rPr>
          <w:endnoteReference w:id="14"/>
        </m:r>
        <m:r>
          <w:rPr>
            <w:rFonts w:ascii="Cambria Math" w:eastAsiaTheme="minorEastAsia" w:hAnsi="Cambria Math"/>
          </w:rPr>
          <m:t xml:space="preserve"> S = 0.075 + 0.316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+ 0.118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rPr>
          <m:t xml:space="preserve">+ 0.171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rPr>
          <m:t xml:space="preserve">+ 0.224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t>
            </m:r>
          </m:sub>
        </m:sSub>
      </m:oMath>
      <w:r w:rsidR="004C42D7">
        <w:rPr>
          <w:rFonts w:eastAsiaTheme="minorEastAsia"/>
        </w:rPr>
        <w:t xml:space="preserve"> </w:t>
      </w:r>
    </w:p>
    <w:p w14:paraId="3AEECB23" w14:textId="77777777" w:rsidR="006A5F00" w:rsidRDefault="006A5F00">
      <w:pPr>
        <w:rPr>
          <w:rFonts w:eastAsiaTheme="minorEastAsia"/>
        </w:rPr>
      </w:pPr>
    </w:p>
    <w:p w14:paraId="7ADEC43D" w14:textId="15458A34" w:rsidR="004C42D7" w:rsidRDefault="006A5F00">
      <w:pPr>
        <w:rPr>
          <w:rFonts w:eastAsiaTheme="minorEastAsia"/>
        </w:rPr>
      </w:pPr>
      <m:oMath>
        <m:r>
          <w:rPr>
            <w:rStyle w:val="EndnoteReference"/>
            <w:rFonts w:ascii="Cambria Math" w:eastAsiaTheme="minorEastAsia" w:hAnsi="Cambria Math"/>
            <w:i/>
          </w:rPr>
          <w:endnoteReference w:id="15"/>
        </m:r>
        <m:r>
          <w:rPr>
            <w:rFonts w:ascii="Cambria Math" w:eastAsiaTheme="minorEastAsia" w:hAnsi="Cambria Math"/>
          </w:rPr>
          <m:t xml:space="preserve"> IE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rPr>
          <m:t>= 0.30 × 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r>
          <w:rPr>
            <w:rFonts w:ascii="Cambria Math" w:eastAsiaTheme="minorEastAsia" w:hAnsi="Cambria Math"/>
          </w:rPr>
          <m:t>+ 0.36 × IA</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rPr>
          <m:t xml:space="preserve">+ 0.16 ×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index</m:t>
            </m:r>
          </m:sub>
        </m:sSub>
        <m:r>
          <w:rPr>
            <w:rFonts w:ascii="Cambria Math" w:eastAsiaTheme="minorEastAsia" w:hAnsi="Cambria Math"/>
          </w:rPr>
          <m:t>+ 0.18 × AC</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oMath>
      <w:r w:rsidR="004C42D7">
        <w:rPr>
          <w:rFonts w:eastAsiaTheme="minorEastAsia"/>
        </w:rPr>
        <w:t xml:space="preserve"> </w:t>
      </w:r>
    </w:p>
    <w:p w14:paraId="022CB973" w14:textId="77777777" w:rsidR="006A5F00" w:rsidRDefault="006A5F00">
      <w:pPr>
        <w:rPr>
          <w:rFonts w:eastAsiaTheme="minorEastAsia"/>
        </w:rPr>
      </w:pPr>
    </w:p>
    <w:p w14:paraId="2DCFC7F0" w14:textId="0C774D73" w:rsidR="004C42D7" w:rsidRDefault="006A5F00">
      <w:pPr>
        <w:rPr>
          <w:rFonts w:eastAsiaTheme="minorEastAsia"/>
        </w:rPr>
      </w:pPr>
      <m:oMath>
        <m:r>
          <w:rPr>
            <w:rStyle w:val="EndnoteReference"/>
            <w:rFonts w:ascii="Cambria Math" w:eastAsiaTheme="minorEastAsia" w:hAnsi="Cambria Math"/>
            <w:i/>
          </w:rPr>
          <w:endnoteReference w:id="16"/>
        </m:r>
        <m:r>
          <w:rPr>
            <w:rFonts w:ascii="Cambria Math" w:eastAsiaTheme="minorEastAsia" w:hAnsi="Cambria Math"/>
          </w:rPr>
          <m:t xml:space="preserve"> DEQI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RH</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CO2</m:t>
                    </m:r>
                  </m:sub>
                </m:sSub>
              </m:e>
            </m:d>
          </m:num>
          <m:den>
            <m:r>
              <w:rPr>
                <w:rFonts w:ascii="Cambria Math" w:eastAsiaTheme="minorEastAsia" w:hAnsi="Cambria Math"/>
              </w:rPr>
              <m:t>3</m:t>
            </m:r>
          </m:den>
        </m:f>
      </m:oMath>
      <w:r w:rsidR="004C42D7">
        <w:rPr>
          <w:rFonts w:eastAsiaTheme="minorEastAsia"/>
        </w:rPr>
        <w:t xml:space="preserve"> </w:t>
      </w:r>
    </w:p>
    <w:p w14:paraId="4A0FF97F" w14:textId="77777777" w:rsidR="006A5F00" w:rsidRDefault="006A5F00">
      <w:pPr>
        <w:rPr>
          <w:rFonts w:eastAsiaTheme="minorEastAsia"/>
        </w:rPr>
      </w:pPr>
    </w:p>
    <w:p w14:paraId="1F69E364" w14:textId="6D8825C1" w:rsidR="00CC3BDB" w:rsidRDefault="006A5F00">
      <w:pPr>
        <w:rPr>
          <w:rFonts w:eastAsiaTheme="minorEastAsia"/>
        </w:rPr>
      </w:pPr>
      <m:oMath>
        <m:r>
          <w:rPr>
            <w:rStyle w:val="EndnoteReference"/>
            <w:rFonts w:ascii="Cambria Math" w:eastAsiaTheme="minorEastAsia" w:hAnsi="Cambria Math"/>
            <w:i/>
          </w:rPr>
          <w:endnoteReference w:id="17"/>
        </m:r>
        <m:r>
          <w:rPr>
            <w:rFonts w:ascii="Cambria Math" w:eastAsiaTheme="minorEastAsia" w:hAnsi="Cambria Math"/>
          </w:rPr>
          <m:t xml:space="preserve"> ICC =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PMV</m:t>
            </m:r>
          </m:sub>
        </m:sSub>
        <m:r>
          <w:rPr>
            <w:rFonts w:ascii="Cambria Math" w:eastAsiaTheme="minorEastAsia" w:hAnsi="Cambria Math"/>
          </w:rPr>
          <m:t xml:space="preserve">+ 0.35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 xml:space="preserve">+ 0.30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VC</m:t>
            </m:r>
          </m:sub>
        </m:sSub>
      </m:oMath>
      <w:r w:rsidR="00CC3BDB">
        <w:rPr>
          <w:rFonts w:eastAsiaTheme="minorEastAsia"/>
        </w:rPr>
        <w:t xml:space="preserve"> </w:t>
      </w:r>
    </w:p>
    <w:p w14:paraId="69A367AC" w14:textId="77777777" w:rsidR="00CC3BDB" w:rsidRDefault="00CC3BDB">
      <w:pPr>
        <w:rPr>
          <w:rFonts w:eastAsiaTheme="minorEastAsia"/>
        </w:rPr>
      </w:pPr>
    </w:p>
    <w:p w14:paraId="6DC433ED" w14:textId="687EEEF5" w:rsidR="00CC3BDB" w:rsidRDefault="00E6156B" w:rsidP="00CC3BDB">
      <w:pPr>
        <w:pStyle w:val="SubHeading"/>
        <w:rPr>
          <w:rFonts w:eastAsiaTheme="minorEastAsia"/>
        </w:rPr>
      </w:pPr>
      <w:bookmarkStart w:id="10" w:name="_Toc194937957"/>
      <w:r>
        <w:rPr>
          <w:rFonts w:eastAsiaTheme="minorEastAsia"/>
        </w:rPr>
        <w:t>3</w:t>
      </w:r>
      <w:r w:rsidR="00CC3BDB">
        <w:rPr>
          <w:rFonts w:eastAsiaTheme="minorEastAsia"/>
        </w:rPr>
        <w:t>.</w:t>
      </w:r>
      <w:r w:rsidR="00817552">
        <w:rPr>
          <w:rFonts w:eastAsiaTheme="minorEastAsia"/>
        </w:rPr>
        <w:t>6</w:t>
      </w:r>
      <w:r w:rsidR="00CC3BDB">
        <w:rPr>
          <w:rFonts w:eastAsiaTheme="minorEastAsia"/>
        </w:rPr>
        <w:tab/>
        <w:t>Our Study Case</w:t>
      </w:r>
      <w:bookmarkEnd w:id="10"/>
    </w:p>
    <w:p w14:paraId="3FB04341" w14:textId="1BC61C2F" w:rsidR="00CC3BDB" w:rsidRDefault="00CC3BDB" w:rsidP="00CC3BDB">
      <w:r>
        <w:t>Our data consist of various thermal, lighting and air quality metrics. Specifically:</w:t>
      </w:r>
    </w:p>
    <w:p w14:paraId="544CB9CF" w14:textId="706C30A5" w:rsidR="00CC3BDB" w:rsidRDefault="00CC3BDB" w:rsidP="00CC3BDB">
      <w:pPr>
        <w:pStyle w:val="ListParagraph"/>
        <w:numPr>
          <w:ilvl w:val="0"/>
          <w:numId w:val="4"/>
        </w:numPr>
      </w:pPr>
      <w:r>
        <w:t>Temperature outdoors</w:t>
      </w:r>
    </w:p>
    <w:p w14:paraId="019D0F0B" w14:textId="693E54CB" w:rsidR="00CC3BDB" w:rsidRDefault="00CC3BDB" w:rsidP="00CC3BDB">
      <w:pPr>
        <w:pStyle w:val="ListParagraph"/>
        <w:numPr>
          <w:ilvl w:val="0"/>
          <w:numId w:val="4"/>
        </w:numPr>
      </w:pPr>
      <w:r>
        <w:t>Temperature Indoors</w:t>
      </w:r>
    </w:p>
    <w:p w14:paraId="3D12375B" w14:textId="600F86D3" w:rsidR="00CC3BDB" w:rsidRPr="00CC3BDB" w:rsidRDefault="00CC3BDB" w:rsidP="00CC3BDB">
      <w:pPr>
        <w:pStyle w:val="ListParagraph"/>
        <w:numPr>
          <w:ilvl w:val="0"/>
          <w:numId w:val="4"/>
        </w:numPr>
      </w:pPr>
      <w:r>
        <w:t>CO</w:t>
      </w:r>
      <w:r>
        <w:rPr>
          <w:vertAlign w:val="subscript"/>
        </w:rPr>
        <w:t>2</w:t>
      </w:r>
    </w:p>
    <w:p w14:paraId="744332C1" w14:textId="7D6BDC7E" w:rsidR="00CC3BDB" w:rsidRDefault="00CC3BDB" w:rsidP="00CC3BDB">
      <w:pPr>
        <w:pStyle w:val="ListParagraph"/>
        <w:numPr>
          <w:ilvl w:val="0"/>
          <w:numId w:val="4"/>
        </w:numPr>
      </w:pPr>
      <w:r>
        <w:t xml:space="preserve">PM 2.5 </w:t>
      </w:r>
    </w:p>
    <w:p w14:paraId="6F688BA7" w14:textId="0903E039" w:rsidR="00CC3BDB" w:rsidRDefault="00CC3BDB" w:rsidP="00CC3BDB">
      <w:pPr>
        <w:pStyle w:val="ListParagraph"/>
        <w:numPr>
          <w:ilvl w:val="0"/>
          <w:numId w:val="4"/>
        </w:numPr>
      </w:pPr>
      <w:r>
        <w:t>Relative humidity</w:t>
      </w:r>
    </w:p>
    <w:p w14:paraId="298141B7" w14:textId="31AC68C3" w:rsidR="00CC3BDB" w:rsidRDefault="00CC3BDB" w:rsidP="00CC3BDB">
      <w:pPr>
        <w:pStyle w:val="ListParagraph"/>
        <w:numPr>
          <w:ilvl w:val="0"/>
          <w:numId w:val="4"/>
        </w:numPr>
      </w:pPr>
      <w:r>
        <w:t>Lux (light)</w:t>
      </w:r>
    </w:p>
    <w:p w14:paraId="161C3B19" w14:textId="3F5FCF6A" w:rsidR="00CC3BDB" w:rsidRDefault="00CC3BDB" w:rsidP="00CC3BDB">
      <w:pPr>
        <w:pStyle w:val="ListParagraph"/>
        <w:numPr>
          <w:ilvl w:val="0"/>
          <w:numId w:val="4"/>
        </w:numPr>
      </w:pPr>
      <w:r>
        <w:t>Various PM particles</w:t>
      </w:r>
    </w:p>
    <w:p w14:paraId="242381AD" w14:textId="1EC1BDB8" w:rsidR="00CC3BDB" w:rsidRDefault="00CC3BDB" w:rsidP="00CC3BDB">
      <w:r>
        <w:lastRenderedPageBreak/>
        <w:t xml:space="preserve">Therefore, we lack acoustic metrics, which is why </w:t>
      </w:r>
      <w:r w:rsidR="005913A0">
        <w:t>we will choose between IEI and DEQI.</w:t>
      </w:r>
    </w:p>
    <w:p w14:paraId="674F660C" w14:textId="77777777" w:rsidR="007E613D" w:rsidRDefault="007E613D" w:rsidP="00CC3BDB"/>
    <w:tbl>
      <w:tblPr>
        <w:tblW w:w="9360" w:type="dxa"/>
        <w:tblCellSpacing w:w="15" w:type="dxa"/>
        <w:tblInd w:w="-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1361"/>
        <w:gridCol w:w="691"/>
        <w:gridCol w:w="1378"/>
        <w:gridCol w:w="992"/>
        <w:gridCol w:w="3132"/>
      </w:tblGrid>
      <w:tr w:rsidR="005913A0" w:rsidRPr="00D07CA6" w14:paraId="26CA0E97" w14:textId="77777777" w:rsidTr="007E613D">
        <w:trPr>
          <w:trHeight w:val="563"/>
          <w:tblHeader/>
          <w:tblCellSpacing w:w="15" w:type="dxa"/>
        </w:trPr>
        <w:tc>
          <w:tcPr>
            <w:tcW w:w="1761" w:type="dxa"/>
            <w:tcBorders>
              <w:top w:val="single" w:sz="4" w:space="0" w:color="auto"/>
              <w:bottom w:val="single" w:sz="4" w:space="0" w:color="auto"/>
            </w:tcBorders>
            <w:vAlign w:val="center"/>
            <w:hideMark/>
          </w:tcPr>
          <w:p w14:paraId="4788BF8C" w14:textId="77777777" w:rsidR="005913A0" w:rsidRPr="00D07CA6" w:rsidRDefault="005913A0" w:rsidP="00A81F5E">
            <w:pPr>
              <w:rPr>
                <w:b/>
                <w:bCs/>
              </w:rPr>
            </w:pPr>
            <w:r w:rsidRPr="00D07CA6">
              <w:rPr>
                <w:b/>
                <w:bCs/>
              </w:rPr>
              <w:t>Index Name</w:t>
            </w:r>
          </w:p>
        </w:tc>
        <w:tc>
          <w:tcPr>
            <w:tcW w:w="1331" w:type="dxa"/>
            <w:tcBorders>
              <w:top w:val="single" w:sz="4" w:space="0" w:color="auto"/>
              <w:bottom w:val="single" w:sz="4" w:space="0" w:color="auto"/>
            </w:tcBorders>
            <w:vAlign w:val="center"/>
            <w:hideMark/>
          </w:tcPr>
          <w:p w14:paraId="64292963" w14:textId="77777777" w:rsidR="005913A0" w:rsidRPr="00D07CA6" w:rsidRDefault="005913A0" w:rsidP="00A81F5E">
            <w:pPr>
              <w:rPr>
                <w:b/>
                <w:bCs/>
              </w:rPr>
            </w:pPr>
            <w:r w:rsidRPr="00D07CA6">
              <w:rPr>
                <w:b/>
                <w:bCs/>
              </w:rPr>
              <w:t>Thermal</w:t>
            </w:r>
          </w:p>
        </w:tc>
        <w:tc>
          <w:tcPr>
            <w:tcW w:w="0" w:type="auto"/>
            <w:tcBorders>
              <w:top w:val="single" w:sz="4" w:space="0" w:color="auto"/>
              <w:bottom w:val="single" w:sz="4" w:space="0" w:color="auto"/>
            </w:tcBorders>
            <w:vAlign w:val="center"/>
            <w:hideMark/>
          </w:tcPr>
          <w:p w14:paraId="1A259867" w14:textId="77777777" w:rsidR="005913A0" w:rsidRPr="00D07CA6" w:rsidRDefault="005913A0" w:rsidP="00A81F5E">
            <w:pPr>
              <w:rPr>
                <w:b/>
                <w:bCs/>
              </w:rPr>
            </w:pPr>
            <w:r w:rsidRPr="00D07CA6">
              <w:rPr>
                <w:b/>
                <w:bCs/>
              </w:rPr>
              <w:t>IAQ</w:t>
            </w:r>
          </w:p>
        </w:tc>
        <w:tc>
          <w:tcPr>
            <w:tcW w:w="0" w:type="auto"/>
            <w:tcBorders>
              <w:top w:val="single" w:sz="4" w:space="0" w:color="auto"/>
              <w:bottom w:val="single" w:sz="4" w:space="0" w:color="auto"/>
            </w:tcBorders>
            <w:vAlign w:val="center"/>
            <w:hideMark/>
          </w:tcPr>
          <w:p w14:paraId="2F546E4D" w14:textId="77777777" w:rsidR="005913A0" w:rsidRPr="00D07CA6" w:rsidRDefault="005913A0" w:rsidP="00A81F5E">
            <w:pPr>
              <w:rPr>
                <w:b/>
                <w:bCs/>
              </w:rPr>
            </w:pPr>
            <w:r w:rsidRPr="00D07CA6">
              <w:rPr>
                <w:b/>
                <w:bCs/>
              </w:rPr>
              <w:t>Acoustic</w:t>
            </w:r>
          </w:p>
        </w:tc>
        <w:tc>
          <w:tcPr>
            <w:tcW w:w="0" w:type="auto"/>
            <w:tcBorders>
              <w:top w:val="single" w:sz="4" w:space="0" w:color="auto"/>
              <w:bottom w:val="single" w:sz="4" w:space="0" w:color="auto"/>
            </w:tcBorders>
            <w:vAlign w:val="center"/>
            <w:hideMark/>
          </w:tcPr>
          <w:p w14:paraId="5518535E" w14:textId="77777777" w:rsidR="005913A0" w:rsidRPr="00D07CA6" w:rsidRDefault="005913A0" w:rsidP="00A81F5E">
            <w:pPr>
              <w:rPr>
                <w:b/>
                <w:bCs/>
              </w:rPr>
            </w:pPr>
            <w:r w:rsidRPr="00D07CA6">
              <w:rPr>
                <w:b/>
                <w:bCs/>
              </w:rPr>
              <w:t>Visual</w:t>
            </w:r>
          </w:p>
        </w:tc>
        <w:tc>
          <w:tcPr>
            <w:tcW w:w="3087" w:type="dxa"/>
            <w:tcBorders>
              <w:top w:val="single" w:sz="4" w:space="0" w:color="auto"/>
              <w:bottom w:val="single" w:sz="4" w:space="0" w:color="auto"/>
            </w:tcBorders>
            <w:vAlign w:val="center"/>
            <w:hideMark/>
          </w:tcPr>
          <w:p w14:paraId="21431D5C" w14:textId="77777777" w:rsidR="005913A0" w:rsidRPr="00D07CA6" w:rsidRDefault="005913A0" w:rsidP="00A81F5E">
            <w:pPr>
              <w:rPr>
                <w:b/>
                <w:bCs/>
              </w:rPr>
            </w:pPr>
            <w:r w:rsidRPr="00D07CA6">
              <w:rPr>
                <w:b/>
                <w:bCs/>
              </w:rPr>
              <w:t>Others (if any)</w:t>
            </w:r>
          </w:p>
        </w:tc>
      </w:tr>
      <w:tr w:rsidR="005913A0" w:rsidRPr="00D07CA6" w14:paraId="2C6EFE5B" w14:textId="77777777" w:rsidTr="007E613D">
        <w:trPr>
          <w:trHeight w:val="563"/>
          <w:tblCellSpacing w:w="15" w:type="dxa"/>
        </w:trPr>
        <w:tc>
          <w:tcPr>
            <w:tcW w:w="1761" w:type="dxa"/>
            <w:vAlign w:val="center"/>
            <w:hideMark/>
          </w:tcPr>
          <w:p w14:paraId="309E8B3A" w14:textId="77777777" w:rsidR="005913A0" w:rsidRPr="00D07CA6" w:rsidRDefault="005913A0" w:rsidP="00A81F5E">
            <w:r w:rsidRPr="00D07CA6">
              <w:t>TEQE</w:t>
            </w:r>
          </w:p>
        </w:tc>
        <w:tc>
          <w:tcPr>
            <w:tcW w:w="1331" w:type="dxa"/>
            <w:vAlign w:val="center"/>
            <w:hideMark/>
          </w:tcPr>
          <w:p w14:paraId="4D4FF7C7" w14:textId="77777777" w:rsidR="005913A0" w:rsidRPr="00D07CA6" w:rsidRDefault="005913A0" w:rsidP="00A81F5E">
            <w:r w:rsidRPr="00D07CA6">
              <w:t>23%</w:t>
            </w:r>
          </w:p>
        </w:tc>
        <w:tc>
          <w:tcPr>
            <w:tcW w:w="0" w:type="auto"/>
            <w:vAlign w:val="center"/>
            <w:hideMark/>
          </w:tcPr>
          <w:p w14:paraId="0FE1609E" w14:textId="77777777" w:rsidR="005913A0" w:rsidRPr="00D07CA6" w:rsidRDefault="005913A0" w:rsidP="00A81F5E">
            <w:r w:rsidRPr="00D07CA6">
              <w:t>24%</w:t>
            </w:r>
          </w:p>
        </w:tc>
        <w:tc>
          <w:tcPr>
            <w:tcW w:w="0" w:type="auto"/>
            <w:vAlign w:val="center"/>
            <w:hideMark/>
          </w:tcPr>
          <w:p w14:paraId="54444046" w14:textId="77777777" w:rsidR="005913A0" w:rsidRPr="00D07CA6" w:rsidRDefault="005913A0" w:rsidP="00A81F5E">
            <w:r w:rsidRPr="00D07CA6">
              <w:t>19%</w:t>
            </w:r>
          </w:p>
        </w:tc>
        <w:tc>
          <w:tcPr>
            <w:tcW w:w="0" w:type="auto"/>
            <w:vAlign w:val="center"/>
            <w:hideMark/>
          </w:tcPr>
          <w:p w14:paraId="5962A415" w14:textId="77777777" w:rsidR="005913A0" w:rsidRPr="00D07CA6" w:rsidRDefault="005913A0" w:rsidP="00A81F5E">
            <w:r w:rsidRPr="00D07CA6">
              <w:t>34%</w:t>
            </w:r>
          </w:p>
        </w:tc>
        <w:tc>
          <w:tcPr>
            <w:tcW w:w="3087" w:type="dxa"/>
            <w:vAlign w:val="center"/>
            <w:hideMark/>
          </w:tcPr>
          <w:p w14:paraId="383D8DA0" w14:textId="77777777" w:rsidR="005913A0" w:rsidRPr="00D07CA6" w:rsidRDefault="005913A0" w:rsidP="00A81F5E">
            <w:r w:rsidRPr="00D07CA6">
              <w:t>—</w:t>
            </w:r>
          </w:p>
        </w:tc>
      </w:tr>
      <w:tr w:rsidR="005913A0" w:rsidRPr="00D07CA6" w14:paraId="219BBED0" w14:textId="77777777" w:rsidTr="007E613D">
        <w:trPr>
          <w:trHeight w:val="563"/>
          <w:tblCellSpacing w:w="15" w:type="dxa"/>
        </w:trPr>
        <w:tc>
          <w:tcPr>
            <w:tcW w:w="1761" w:type="dxa"/>
            <w:vAlign w:val="center"/>
            <w:hideMark/>
          </w:tcPr>
          <w:p w14:paraId="3920AA9F" w14:textId="77777777" w:rsidR="005913A0" w:rsidRPr="00D07CA6" w:rsidRDefault="005913A0" w:rsidP="00A81F5E">
            <w:r w:rsidRPr="00D07CA6">
              <w:t>IEI(AHP)</w:t>
            </w:r>
          </w:p>
        </w:tc>
        <w:tc>
          <w:tcPr>
            <w:tcW w:w="1331" w:type="dxa"/>
            <w:vAlign w:val="center"/>
            <w:hideMark/>
          </w:tcPr>
          <w:p w14:paraId="353E6D21" w14:textId="77777777" w:rsidR="005913A0" w:rsidRPr="00D07CA6" w:rsidRDefault="005913A0" w:rsidP="00A81F5E">
            <w:r w:rsidRPr="00D07CA6">
              <w:t>21%</w:t>
            </w:r>
          </w:p>
        </w:tc>
        <w:tc>
          <w:tcPr>
            <w:tcW w:w="0" w:type="auto"/>
            <w:vAlign w:val="center"/>
            <w:hideMark/>
          </w:tcPr>
          <w:p w14:paraId="36ED5CE3" w14:textId="77777777" w:rsidR="005913A0" w:rsidRPr="00D07CA6" w:rsidRDefault="005913A0" w:rsidP="00A81F5E">
            <w:r w:rsidRPr="00D07CA6">
              <w:t>29%</w:t>
            </w:r>
          </w:p>
        </w:tc>
        <w:tc>
          <w:tcPr>
            <w:tcW w:w="0" w:type="auto"/>
            <w:vAlign w:val="center"/>
            <w:hideMark/>
          </w:tcPr>
          <w:p w14:paraId="4B113865" w14:textId="77777777" w:rsidR="005913A0" w:rsidRPr="00D07CA6" w:rsidRDefault="005913A0" w:rsidP="00A81F5E">
            <w:r w:rsidRPr="00D07CA6">
              <w:t>20%</w:t>
            </w:r>
          </w:p>
        </w:tc>
        <w:tc>
          <w:tcPr>
            <w:tcW w:w="0" w:type="auto"/>
            <w:vAlign w:val="center"/>
            <w:hideMark/>
          </w:tcPr>
          <w:p w14:paraId="6EAD62EA" w14:textId="77777777" w:rsidR="005913A0" w:rsidRPr="00D07CA6" w:rsidRDefault="005913A0" w:rsidP="00A81F5E">
            <w:r w:rsidRPr="00D07CA6">
              <w:t>16%</w:t>
            </w:r>
          </w:p>
        </w:tc>
        <w:tc>
          <w:tcPr>
            <w:tcW w:w="3087" w:type="dxa"/>
            <w:vAlign w:val="center"/>
            <w:hideMark/>
          </w:tcPr>
          <w:p w14:paraId="0CB89E40" w14:textId="77777777" w:rsidR="005913A0" w:rsidRPr="00D07CA6" w:rsidRDefault="005913A0" w:rsidP="00A81F5E">
            <w:r w:rsidRPr="00D07CA6">
              <w:t>EMF (14%)</w:t>
            </w:r>
          </w:p>
        </w:tc>
      </w:tr>
      <w:tr w:rsidR="005913A0" w:rsidRPr="00D07CA6" w14:paraId="7465C772" w14:textId="77777777" w:rsidTr="007E613D">
        <w:trPr>
          <w:trHeight w:val="546"/>
          <w:tblCellSpacing w:w="15" w:type="dxa"/>
        </w:trPr>
        <w:tc>
          <w:tcPr>
            <w:tcW w:w="1761" w:type="dxa"/>
            <w:vAlign w:val="center"/>
            <w:hideMark/>
          </w:tcPr>
          <w:p w14:paraId="6EF408ED" w14:textId="77777777" w:rsidR="005913A0" w:rsidRPr="00D07CA6" w:rsidRDefault="005913A0" w:rsidP="00A81F5E">
            <w:pPr>
              <w:rPr>
                <w:b/>
                <w:bCs/>
                <w:u w:val="single"/>
              </w:rPr>
            </w:pPr>
            <w:r w:rsidRPr="00D07CA6">
              <w:rPr>
                <w:b/>
                <w:bCs/>
                <w:u w:val="single"/>
              </w:rPr>
              <w:t>IEI</w:t>
            </w:r>
          </w:p>
        </w:tc>
        <w:tc>
          <w:tcPr>
            <w:tcW w:w="1331" w:type="dxa"/>
            <w:vAlign w:val="center"/>
            <w:hideMark/>
          </w:tcPr>
          <w:p w14:paraId="2307645C" w14:textId="77777777" w:rsidR="005913A0" w:rsidRPr="00D07CA6" w:rsidRDefault="005913A0" w:rsidP="00A81F5E">
            <w:r w:rsidRPr="00D07CA6">
              <w:t>50%</w:t>
            </w:r>
          </w:p>
        </w:tc>
        <w:tc>
          <w:tcPr>
            <w:tcW w:w="0" w:type="auto"/>
            <w:vAlign w:val="center"/>
            <w:hideMark/>
          </w:tcPr>
          <w:p w14:paraId="6DA1E56D" w14:textId="77777777" w:rsidR="005913A0" w:rsidRPr="00D07CA6" w:rsidRDefault="005913A0" w:rsidP="00A81F5E">
            <w:r w:rsidRPr="00D07CA6">
              <w:t>50%</w:t>
            </w:r>
          </w:p>
        </w:tc>
        <w:tc>
          <w:tcPr>
            <w:tcW w:w="0" w:type="auto"/>
            <w:vAlign w:val="center"/>
            <w:hideMark/>
          </w:tcPr>
          <w:p w14:paraId="76EB75CA" w14:textId="77777777" w:rsidR="005913A0" w:rsidRPr="00D07CA6" w:rsidRDefault="005913A0" w:rsidP="00A81F5E">
            <w:r w:rsidRPr="00D07CA6">
              <w:t>—</w:t>
            </w:r>
          </w:p>
        </w:tc>
        <w:tc>
          <w:tcPr>
            <w:tcW w:w="0" w:type="auto"/>
            <w:vAlign w:val="center"/>
            <w:hideMark/>
          </w:tcPr>
          <w:p w14:paraId="4212B580" w14:textId="77777777" w:rsidR="005913A0" w:rsidRPr="00D07CA6" w:rsidRDefault="005913A0" w:rsidP="00A81F5E">
            <w:r w:rsidRPr="00D07CA6">
              <w:t>—</w:t>
            </w:r>
          </w:p>
        </w:tc>
        <w:tc>
          <w:tcPr>
            <w:tcW w:w="3087" w:type="dxa"/>
            <w:vAlign w:val="center"/>
            <w:hideMark/>
          </w:tcPr>
          <w:p w14:paraId="62C9D7B9" w14:textId="77777777" w:rsidR="005913A0" w:rsidRPr="00D07CA6" w:rsidRDefault="005913A0" w:rsidP="00A81F5E">
            <w:r w:rsidRPr="00D07CA6">
              <w:t>—</w:t>
            </w:r>
          </w:p>
        </w:tc>
      </w:tr>
      <w:tr w:rsidR="005913A0" w:rsidRPr="00D07CA6" w14:paraId="6DC63FBF" w14:textId="77777777" w:rsidTr="007E613D">
        <w:trPr>
          <w:trHeight w:val="563"/>
          <w:tblCellSpacing w:w="15" w:type="dxa"/>
        </w:trPr>
        <w:tc>
          <w:tcPr>
            <w:tcW w:w="1761" w:type="dxa"/>
            <w:vAlign w:val="center"/>
            <w:hideMark/>
          </w:tcPr>
          <w:p w14:paraId="7FA14830" w14:textId="77777777" w:rsidR="005913A0" w:rsidRPr="00D07CA6" w:rsidRDefault="005913A0" w:rsidP="00A81F5E">
            <w:r w:rsidRPr="00D07CA6">
              <w:t>Index (I)</w:t>
            </w:r>
          </w:p>
        </w:tc>
        <w:tc>
          <w:tcPr>
            <w:tcW w:w="1331" w:type="dxa"/>
            <w:vAlign w:val="center"/>
            <w:hideMark/>
          </w:tcPr>
          <w:p w14:paraId="695B494E" w14:textId="77777777" w:rsidR="005913A0" w:rsidRPr="00D07CA6" w:rsidRDefault="005913A0" w:rsidP="00A81F5E">
            <w:r w:rsidRPr="00D07CA6">
              <w:t>67%</w:t>
            </w:r>
          </w:p>
        </w:tc>
        <w:tc>
          <w:tcPr>
            <w:tcW w:w="0" w:type="auto"/>
            <w:vAlign w:val="center"/>
            <w:hideMark/>
          </w:tcPr>
          <w:p w14:paraId="6E181684" w14:textId="77777777" w:rsidR="005913A0" w:rsidRPr="00D07CA6" w:rsidRDefault="005913A0" w:rsidP="00A81F5E">
            <w:r w:rsidRPr="00D07CA6">
              <w:t>36%</w:t>
            </w:r>
          </w:p>
        </w:tc>
        <w:tc>
          <w:tcPr>
            <w:tcW w:w="0" w:type="auto"/>
            <w:vAlign w:val="center"/>
            <w:hideMark/>
          </w:tcPr>
          <w:p w14:paraId="2D24B659" w14:textId="77777777" w:rsidR="005913A0" w:rsidRPr="00D07CA6" w:rsidRDefault="005913A0" w:rsidP="00A81F5E">
            <w:r w:rsidRPr="00D07CA6">
              <w:t>13%</w:t>
            </w:r>
          </w:p>
        </w:tc>
        <w:tc>
          <w:tcPr>
            <w:tcW w:w="0" w:type="auto"/>
            <w:vAlign w:val="center"/>
            <w:hideMark/>
          </w:tcPr>
          <w:p w14:paraId="7474397D" w14:textId="77777777" w:rsidR="005913A0" w:rsidRPr="00D07CA6" w:rsidRDefault="005913A0" w:rsidP="00A81F5E">
            <w:r w:rsidRPr="00D07CA6">
              <w:t>5%</w:t>
            </w:r>
          </w:p>
        </w:tc>
        <w:tc>
          <w:tcPr>
            <w:tcW w:w="3087" w:type="dxa"/>
            <w:vAlign w:val="center"/>
            <w:hideMark/>
          </w:tcPr>
          <w:p w14:paraId="29CE635A" w14:textId="77777777" w:rsidR="005913A0" w:rsidRPr="00D07CA6" w:rsidRDefault="005913A0" w:rsidP="00A81F5E">
            <w:r w:rsidRPr="00D07CA6">
              <w:t>—</w:t>
            </w:r>
          </w:p>
        </w:tc>
      </w:tr>
      <w:tr w:rsidR="005913A0" w:rsidRPr="00D07CA6" w14:paraId="602A0C9B" w14:textId="77777777" w:rsidTr="007E613D">
        <w:trPr>
          <w:trHeight w:val="546"/>
          <w:tblCellSpacing w:w="15" w:type="dxa"/>
        </w:trPr>
        <w:tc>
          <w:tcPr>
            <w:tcW w:w="1761" w:type="dxa"/>
            <w:vAlign w:val="center"/>
            <w:hideMark/>
          </w:tcPr>
          <w:p w14:paraId="69886A3C" w14:textId="77777777" w:rsidR="005913A0" w:rsidRPr="00D07CA6" w:rsidRDefault="005913A0" w:rsidP="00A81F5E">
            <w:r w:rsidRPr="00D07CA6">
              <w:t>PDIEQ</w:t>
            </w:r>
          </w:p>
        </w:tc>
        <w:tc>
          <w:tcPr>
            <w:tcW w:w="1331" w:type="dxa"/>
            <w:vAlign w:val="center"/>
            <w:hideMark/>
          </w:tcPr>
          <w:p w14:paraId="316076B6" w14:textId="77777777" w:rsidR="005913A0" w:rsidRPr="00D07CA6" w:rsidRDefault="005913A0" w:rsidP="00A81F5E">
            <w:r w:rsidRPr="00D07CA6">
              <w:t>42%</w:t>
            </w:r>
          </w:p>
        </w:tc>
        <w:tc>
          <w:tcPr>
            <w:tcW w:w="0" w:type="auto"/>
            <w:vAlign w:val="center"/>
            <w:hideMark/>
          </w:tcPr>
          <w:p w14:paraId="5CB6E1B5" w14:textId="77777777" w:rsidR="005913A0" w:rsidRPr="00D07CA6" w:rsidRDefault="005913A0" w:rsidP="00A81F5E">
            <w:r w:rsidRPr="00D07CA6">
              <w:t>9%</w:t>
            </w:r>
          </w:p>
        </w:tc>
        <w:tc>
          <w:tcPr>
            <w:tcW w:w="0" w:type="auto"/>
            <w:vAlign w:val="center"/>
            <w:hideMark/>
          </w:tcPr>
          <w:p w14:paraId="6EFDC26E" w14:textId="77777777" w:rsidR="005913A0" w:rsidRPr="00D07CA6" w:rsidRDefault="005913A0" w:rsidP="00A81F5E">
            <w:r w:rsidRPr="00D07CA6">
              <w:t>28%</w:t>
            </w:r>
          </w:p>
        </w:tc>
        <w:tc>
          <w:tcPr>
            <w:tcW w:w="0" w:type="auto"/>
            <w:vAlign w:val="center"/>
            <w:hideMark/>
          </w:tcPr>
          <w:p w14:paraId="1818E276" w14:textId="77777777" w:rsidR="005913A0" w:rsidRPr="00D07CA6" w:rsidRDefault="005913A0" w:rsidP="00A81F5E">
            <w:r w:rsidRPr="00D07CA6">
              <w:t>—</w:t>
            </w:r>
          </w:p>
        </w:tc>
        <w:tc>
          <w:tcPr>
            <w:tcW w:w="3087" w:type="dxa"/>
            <w:vAlign w:val="center"/>
            <w:hideMark/>
          </w:tcPr>
          <w:p w14:paraId="0DB47CF2" w14:textId="77777777" w:rsidR="005913A0" w:rsidRPr="00D07CA6" w:rsidRDefault="005913A0" w:rsidP="00A81F5E">
            <w:r w:rsidRPr="00D07CA6">
              <w:t>—</w:t>
            </w:r>
          </w:p>
        </w:tc>
      </w:tr>
      <w:tr w:rsidR="005913A0" w:rsidRPr="00D07CA6" w14:paraId="7AF66626" w14:textId="77777777" w:rsidTr="007E613D">
        <w:trPr>
          <w:trHeight w:val="563"/>
          <w:tblCellSpacing w:w="15" w:type="dxa"/>
        </w:trPr>
        <w:tc>
          <w:tcPr>
            <w:tcW w:w="1761" w:type="dxa"/>
            <w:vAlign w:val="center"/>
            <w:hideMark/>
          </w:tcPr>
          <w:p w14:paraId="48327518" w14:textId="77777777" w:rsidR="005913A0" w:rsidRPr="00D07CA6" w:rsidRDefault="005913A0" w:rsidP="00A81F5E">
            <w:r w:rsidRPr="00D07CA6">
              <w:t>S</w:t>
            </w:r>
          </w:p>
        </w:tc>
        <w:tc>
          <w:tcPr>
            <w:tcW w:w="1331" w:type="dxa"/>
            <w:vAlign w:val="center"/>
            <w:hideMark/>
          </w:tcPr>
          <w:p w14:paraId="52C2EAF1" w14:textId="77777777" w:rsidR="005913A0" w:rsidRPr="00D07CA6" w:rsidRDefault="005913A0" w:rsidP="00A81F5E">
            <w:r w:rsidRPr="00D07CA6">
              <w:t>32%</w:t>
            </w:r>
          </w:p>
        </w:tc>
        <w:tc>
          <w:tcPr>
            <w:tcW w:w="0" w:type="auto"/>
            <w:vAlign w:val="center"/>
            <w:hideMark/>
          </w:tcPr>
          <w:p w14:paraId="1ABBF57F" w14:textId="77777777" w:rsidR="005913A0" w:rsidRPr="00D07CA6" w:rsidRDefault="005913A0" w:rsidP="00A81F5E">
            <w:r w:rsidRPr="00D07CA6">
              <w:t>12%</w:t>
            </w:r>
          </w:p>
        </w:tc>
        <w:tc>
          <w:tcPr>
            <w:tcW w:w="0" w:type="auto"/>
            <w:vAlign w:val="center"/>
            <w:hideMark/>
          </w:tcPr>
          <w:p w14:paraId="37C5C9BA" w14:textId="77777777" w:rsidR="005913A0" w:rsidRPr="00D07CA6" w:rsidRDefault="005913A0" w:rsidP="00A81F5E">
            <w:r w:rsidRPr="00D07CA6">
              <w:t>22%</w:t>
            </w:r>
          </w:p>
        </w:tc>
        <w:tc>
          <w:tcPr>
            <w:tcW w:w="0" w:type="auto"/>
            <w:vAlign w:val="center"/>
            <w:hideMark/>
          </w:tcPr>
          <w:p w14:paraId="39D8AE13" w14:textId="77777777" w:rsidR="005913A0" w:rsidRPr="00D07CA6" w:rsidRDefault="005913A0" w:rsidP="00A81F5E">
            <w:r w:rsidRPr="00D07CA6">
              <w:t>17%</w:t>
            </w:r>
          </w:p>
        </w:tc>
        <w:tc>
          <w:tcPr>
            <w:tcW w:w="3087" w:type="dxa"/>
            <w:vAlign w:val="center"/>
            <w:hideMark/>
          </w:tcPr>
          <w:p w14:paraId="489AF002" w14:textId="77777777" w:rsidR="005913A0" w:rsidRPr="00D07CA6" w:rsidRDefault="005913A0" w:rsidP="00A81F5E">
            <w:r w:rsidRPr="00D07CA6">
              <w:t>—</w:t>
            </w:r>
          </w:p>
        </w:tc>
      </w:tr>
      <w:tr w:rsidR="005913A0" w:rsidRPr="00D07CA6" w14:paraId="03E50C1F" w14:textId="77777777" w:rsidTr="007E613D">
        <w:trPr>
          <w:trHeight w:val="563"/>
          <w:tblCellSpacing w:w="15" w:type="dxa"/>
        </w:trPr>
        <w:tc>
          <w:tcPr>
            <w:tcW w:w="1761" w:type="dxa"/>
            <w:vAlign w:val="center"/>
            <w:hideMark/>
          </w:tcPr>
          <w:p w14:paraId="59B9AF72" w14:textId="77777777" w:rsidR="005913A0" w:rsidRPr="005913A0" w:rsidRDefault="005913A0" w:rsidP="00A81F5E">
            <w:proofErr w:type="spellStart"/>
            <w:r w:rsidRPr="005913A0">
              <w:t>IEQindex</w:t>
            </w:r>
            <w:proofErr w:type="spellEnd"/>
          </w:p>
        </w:tc>
        <w:tc>
          <w:tcPr>
            <w:tcW w:w="1331" w:type="dxa"/>
            <w:vAlign w:val="center"/>
            <w:hideMark/>
          </w:tcPr>
          <w:p w14:paraId="438C9B21" w14:textId="77777777" w:rsidR="005913A0" w:rsidRPr="00D07CA6" w:rsidRDefault="005913A0" w:rsidP="00A81F5E">
            <w:r w:rsidRPr="00D07CA6">
              <w:t>30%</w:t>
            </w:r>
          </w:p>
        </w:tc>
        <w:tc>
          <w:tcPr>
            <w:tcW w:w="0" w:type="auto"/>
            <w:vAlign w:val="center"/>
            <w:hideMark/>
          </w:tcPr>
          <w:p w14:paraId="04281E5A" w14:textId="77777777" w:rsidR="005913A0" w:rsidRPr="00D07CA6" w:rsidRDefault="005913A0" w:rsidP="00A81F5E">
            <w:r w:rsidRPr="00D07CA6">
              <w:t>36%</w:t>
            </w:r>
          </w:p>
        </w:tc>
        <w:tc>
          <w:tcPr>
            <w:tcW w:w="0" w:type="auto"/>
            <w:vAlign w:val="center"/>
            <w:hideMark/>
          </w:tcPr>
          <w:p w14:paraId="1221229D" w14:textId="77777777" w:rsidR="005913A0" w:rsidRPr="00D07CA6" w:rsidRDefault="005913A0" w:rsidP="00A81F5E">
            <w:r w:rsidRPr="00D07CA6">
              <w:t>18%</w:t>
            </w:r>
          </w:p>
        </w:tc>
        <w:tc>
          <w:tcPr>
            <w:tcW w:w="0" w:type="auto"/>
            <w:vAlign w:val="center"/>
            <w:hideMark/>
          </w:tcPr>
          <w:p w14:paraId="1C399231" w14:textId="77777777" w:rsidR="005913A0" w:rsidRPr="00D07CA6" w:rsidRDefault="005913A0" w:rsidP="00A81F5E">
            <w:r w:rsidRPr="00D07CA6">
              <w:t>16%</w:t>
            </w:r>
          </w:p>
        </w:tc>
        <w:tc>
          <w:tcPr>
            <w:tcW w:w="3087" w:type="dxa"/>
            <w:vAlign w:val="center"/>
            <w:hideMark/>
          </w:tcPr>
          <w:p w14:paraId="67AA1B45" w14:textId="77777777" w:rsidR="005913A0" w:rsidRPr="00D07CA6" w:rsidRDefault="005913A0" w:rsidP="00A81F5E">
            <w:r w:rsidRPr="00D07CA6">
              <w:t>—</w:t>
            </w:r>
          </w:p>
        </w:tc>
      </w:tr>
      <w:tr w:rsidR="005913A0" w:rsidRPr="00D07CA6" w14:paraId="3DACDDE7" w14:textId="77777777" w:rsidTr="007E613D">
        <w:trPr>
          <w:trHeight w:val="546"/>
          <w:tblCellSpacing w:w="15" w:type="dxa"/>
        </w:trPr>
        <w:tc>
          <w:tcPr>
            <w:tcW w:w="1761" w:type="dxa"/>
            <w:vAlign w:val="center"/>
            <w:hideMark/>
          </w:tcPr>
          <w:p w14:paraId="050EC3E0" w14:textId="77777777" w:rsidR="005913A0" w:rsidRPr="005913A0" w:rsidRDefault="005913A0" w:rsidP="00A81F5E">
            <w:pPr>
              <w:rPr>
                <w:b/>
                <w:bCs/>
                <w:u w:val="single"/>
              </w:rPr>
            </w:pPr>
            <w:r w:rsidRPr="005913A0">
              <w:rPr>
                <w:b/>
                <w:bCs/>
                <w:u w:val="single"/>
              </w:rPr>
              <w:t>DEQI</w:t>
            </w:r>
          </w:p>
        </w:tc>
        <w:tc>
          <w:tcPr>
            <w:tcW w:w="1331" w:type="dxa"/>
            <w:vAlign w:val="center"/>
            <w:hideMark/>
          </w:tcPr>
          <w:p w14:paraId="227D2E36" w14:textId="77777777" w:rsidR="005913A0" w:rsidRPr="00D07CA6" w:rsidRDefault="005913A0" w:rsidP="00A81F5E">
            <w:r w:rsidRPr="00D07CA6">
              <w:t>67%</w:t>
            </w:r>
          </w:p>
        </w:tc>
        <w:tc>
          <w:tcPr>
            <w:tcW w:w="0" w:type="auto"/>
            <w:vAlign w:val="center"/>
            <w:hideMark/>
          </w:tcPr>
          <w:p w14:paraId="37628C2F" w14:textId="77777777" w:rsidR="005913A0" w:rsidRPr="00D07CA6" w:rsidRDefault="005913A0" w:rsidP="00A81F5E">
            <w:r w:rsidRPr="00D07CA6">
              <w:t>33%</w:t>
            </w:r>
          </w:p>
        </w:tc>
        <w:tc>
          <w:tcPr>
            <w:tcW w:w="0" w:type="auto"/>
            <w:vAlign w:val="center"/>
            <w:hideMark/>
          </w:tcPr>
          <w:p w14:paraId="5AA8B440" w14:textId="77777777" w:rsidR="005913A0" w:rsidRPr="00D07CA6" w:rsidRDefault="005913A0" w:rsidP="00A81F5E">
            <w:r w:rsidRPr="00D07CA6">
              <w:t>—</w:t>
            </w:r>
          </w:p>
        </w:tc>
        <w:tc>
          <w:tcPr>
            <w:tcW w:w="0" w:type="auto"/>
            <w:vAlign w:val="center"/>
            <w:hideMark/>
          </w:tcPr>
          <w:p w14:paraId="1517D88A" w14:textId="77777777" w:rsidR="005913A0" w:rsidRPr="00D07CA6" w:rsidRDefault="005913A0" w:rsidP="00A81F5E">
            <w:r w:rsidRPr="00D07CA6">
              <w:t>—</w:t>
            </w:r>
          </w:p>
        </w:tc>
        <w:tc>
          <w:tcPr>
            <w:tcW w:w="3087" w:type="dxa"/>
            <w:vAlign w:val="center"/>
            <w:hideMark/>
          </w:tcPr>
          <w:p w14:paraId="4EDADF14" w14:textId="77777777" w:rsidR="005913A0" w:rsidRPr="00D07CA6" w:rsidRDefault="005913A0" w:rsidP="00A81F5E">
            <w:r w:rsidRPr="00D07CA6">
              <w:t>—</w:t>
            </w:r>
          </w:p>
        </w:tc>
      </w:tr>
      <w:tr w:rsidR="005913A0" w:rsidRPr="00D07CA6" w14:paraId="2B02C6C7" w14:textId="77777777" w:rsidTr="007E613D">
        <w:trPr>
          <w:trHeight w:val="580"/>
          <w:tblCellSpacing w:w="15" w:type="dxa"/>
        </w:trPr>
        <w:tc>
          <w:tcPr>
            <w:tcW w:w="1761" w:type="dxa"/>
            <w:vAlign w:val="center"/>
            <w:hideMark/>
          </w:tcPr>
          <w:p w14:paraId="2BC9C661" w14:textId="77777777" w:rsidR="005913A0" w:rsidRPr="00D07CA6" w:rsidRDefault="005913A0" w:rsidP="00A81F5E">
            <w:r w:rsidRPr="00D07CA6">
              <w:t>ICC</w:t>
            </w:r>
          </w:p>
        </w:tc>
        <w:tc>
          <w:tcPr>
            <w:tcW w:w="1331" w:type="dxa"/>
            <w:vAlign w:val="center"/>
            <w:hideMark/>
          </w:tcPr>
          <w:p w14:paraId="76CC3A72" w14:textId="77777777" w:rsidR="005913A0" w:rsidRPr="00D07CA6" w:rsidRDefault="005913A0" w:rsidP="00A81F5E">
            <w:r w:rsidRPr="00D07CA6">
              <w:t>35%</w:t>
            </w:r>
          </w:p>
        </w:tc>
        <w:tc>
          <w:tcPr>
            <w:tcW w:w="0" w:type="auto"/>
            <w:vAlign w:val="center"/>
            <w:hideMark/>
          </w:tcPr>
          <w:p w14:paraId="13EB24FF" w14:textId="77777777" w:rsidR="005913A0" w:rsidRPr="00D07CA6" w:rsidRDefault="005913A0" w:rsidP="00A81F5E">
            <w:r w:rsidRPr="00D07CA6">
              <w:t>—</w:t>
            </w:r>
          </w:p>
        </w:tc>
        <w:tc>
          <w:tcPr>
            <w:tcW w:w="0" w:type="auto"/>
            <w:vAlign w:val="center"/>
            <w:hideMark/>
          </w:tcPr>
          <w:p w14:paraId="3EF70E99" w14:textId="77777777" w:rsidR="005913A0" w:rsidRPr="00D07CA6" w:rsidRDefault="005913A0" w:rsidP="00A81F5E">
            <w:r w:rsidRPr="00D07CA6">
              <w:t>35%</w:t>
            </w:r>
          </w:p>
        </w:tc>
        <w:tc>
          <w:tcPr>
            <w:tcW w:w="0" w:type="auto"/>
            <w:vAlign w:val="center"/>
            <w:hideMark/>
          </w:tcPr>
          <w:p w14:paraId="26F7D3C2" w14:textId="77777777" w:rsidR="005913A0" w:rsidRPr="00D07CA6" w:rsidRDefault="005913A0" w:rsidP="00A81F5E">
            <w:r w:rsidRPr="00D07CA6">
              <w:t>30%</w:t>
            </w:r>
          </w:p>
        </w:tc>
        <w:tc>
          <w:tcPr>
            <w:tcW w:w="3087" w:type="dxa"/>
            <w:vAlign w:val="center"/>
            <w:hideMark/>
          </w:tcPr>
          <w:p w14:paraId="0C837A98" w14:textId="77777777" w:rsidR="005913A0" w:rsidRPr="00D07CA6" w:rsidRDefault="005913A0" w:rsidP="00A81F5E">
            <w:r w:rsidRPr="00D07CA6">
              <w:t>—</w:t>
            </w:r>
          </w:p>
        </w:tc>
      </w:tr>
    </w:tbl>
    <w:p w14:paraId="282347AA" w14:textId="77777777" w:rsidR="005913A0" w:rsidRDefault="005913A0" w:rsidP="00CC3BDB"/>
    <w:p w14:paraId="204E81D9" w14:textId="7BD7BDE9" w:rsidR="005913A0" w:rsidRDefault="005913A0" w:rsidP="00547A28">
      <w:pPr>
        <w:jc w:val="both"/>
      </w:pPr>
      <w:r>
        <w:t>We ended up choosing IEI and therefore create a comfort column for our dataset calculated with the equation:</w:t>
      </w:r>
    </w:p>
    <w:p w14:paraId="093FA489" w14:textId="45A28A5D" w:rsidR="005913A0" w:rsidRDefault="005913A0" w:rsidP="00CC3BDB">
      <w:pPr>
        <w:rPr>
          <w:rFonts w:eastAsiaTheme="minorEastAsia"/>
        </w:rPr>
      </w:pPr>
      <m:oMath>
        <m:r>
          <w:rPr>
            <w:rFonts w:ascii="Cambria Math" w:hAnsi="Cambria Math"/>
          </w:rPr>
          <m:t xml:space="preserve">Thermal=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 xml:space="preserve"> Tin+ RH</m:t>
                </m:r>
              </m:e>
            </m:d>
          </m:num>
          <m:den>
            <m:r>
              <w:rPr>
                <w:rFonts w:ascii="Cambria Math" w:eastAsiaTheme="minorEastAsia" w:hAnsi="Cambria Math"/>
              </w:rPr>
              <m:t>2</m:t>
            </m:r>
          </m:den>
        </m:f>
      </m:oMath>
      <w:r>
        <w:rPr>
          <w:rFonts w:eastAsiaTheme="minorEastAsia"/>
        </w:rPr>
        <w:t xml:space="preserve"> </w:t>
      </w:r>
    </w:p>
    <w:p w14:paraId="4B9D64E5" w14:textId="765E2C03" w:rsidR="005913A0" w:rsidRDefault="005913A0" w:rsidP="00CC3BDB">
      <m:oMath>
        <m:r>
          <w:rPr>
            <w:rFonts w:ascii="Cambria Math" w:hAnsi="Cambria Math"/>
          </w:rPr>
          <m:t xml:space="preserve">IEQ=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 xml:space="preserve"> 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2.5</m:t>
                    </m:r>
                  </m:sub>
                </m:sSub>
              </m:e>
            </m:d>
          </m:num>
          <m:den>
            <m:r>
              <w:rPr>
                <w:rFonts w:ascii="Cambria Math" w:eastAsiaTheme="minorEastAsia" w:hAnsi="Cambria Math"/>
              </w:rPr>
              <m:t>2</m:t>
            </m:r>
          </m:den>
        </m:f>
      </m:oMath>
      <w:r>
        <w:rPr>
          <w:rFonts w:eastAsiaTheme="minorEastAsia"/>
        </w:rPr>
        <w:t xml:space="preserve"> </w:t>
      </w:r>
    </w:p>
    <w:p w14:paraId="26548B2D" w14:textId="4A781558" w:rsidR="0026658B" w:rsidRDefault="005913A0" w:rsidP="005913A0">
      <w:pPr>
        <w:rPr>
          <w:rFonts w:eastAsiaTheme="minorEastAsia"/>
        </w:rPr>
      </w:pPr>
      <m:oMath>
        <m:r>
          <w:rPr>
            <w:rFonts w:ascii="Cambria Math" w:hAnsi="Cambria Math"/>
          </w:rPr>
          <m:t>Comfort</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Thermal + IEQ</m:t>
                </m:r>
              </m:e>
            </m:d>
          </m:num>
          <m:den>
            <m:r>
              <w:rPr>
                <w:rFonts w:ascii="Cambria Math" w:eastAsiaTheme="minorEastAsia" w:hAnsi="Cambria Math"/>
              </w:rPr>
              <m:t>2</m:t>
            </m:r>
          </m:den>
        </m:f>
      </m:oMath>
      <w:r>
        <w:rPr>
          <w:rFonts w:eastAsiaTheme="minorEastAsia"/>
        </w:rPr>
        <w:t xml:space="preserve"> </w:t>
      </w:r>
    </w:p>
    <w:p w14:paraId="0DA92D51" w14:textId="2842D4FF" w:rsidR="0026658B" w:rsidRDefault="0026658B" w:rsidP="00547A28">
      <w:pPr>
        <w:jc w:val="both"/>
        <w:rPr>
          <w:rFonts w:eastAsiaTheme="minorEastAsia"/>
        </w:rPr>
      </w:pPr>
      <w:r>
        <w:rPr>
          <w:rFonts w:eastAsiaTheme="minorEastAsia"/>
        </w:rPr>
        <w:t>But to get the actual score of each individual metric we need certain guidelines. According to guidelines like ASHRAE, WHO</w:t>
      </w:r>
      <w:r w:rsidR="006A5F00">
        <w:rPr>
          <w:rStyle w:val="EndnoteReference"/>
          <w:rFonts w:eastAsiaTheme="minorEastAsia"/>
        </w:rPr>
        <w:endnoteReference w:id="18"/>
      </w:r>
      <w:r>
        <w:rPr>
          <w:rFonts w:eastAsiaTheme="minorEastAsia"/>
        </w:rPr>
        <w:t>, EPA there are certain ideal ranges per metric that we can assume translates to 100% comfort. Straying away from those values drops the comfort slowly to</w:t>
      </w:r>
      <w:r w:rsidR="006A5F00">
        <w:rPr>
          <w:rFonts w:eastAsiaTheme="minorEastAsia"/>
        </w:rPr>
        <w:t xml:space="preserve"> 0</w:t>
      </w:r>
      <w:r>
        <w:rPr>
          <w:rFonts w:eastAsiaTheme="minorEastAsia"/>
        </w:rPr>
        <w:t>.</w:t>
      </w:r>
    </w:p>
    <w:p w14:paraId="2DB8676A" w14:textId="77777777" w:rsidR="007E613D" w:rsidRDefault="007E613D" w:rsidP="00547A28">
      <w:pPr>
        <w:jc w:val="both"/>
        <w:rPr>
          <w:rFonts w:eastAsiaTheme="minorEastAsia"/>
        </w:rPr>
      </w:pPr>
    </w:p>
    <w:p w14:paraId="19CAE414" w14:textId="77777777" w:rsidR="007E613D" w:rsidRDefault="007E613D" w:rsidP="00547A28">
      <w:pPr>
        <w:jc w:val="both"/>
        <w:rPr>
          <w:rFonts w:eastAsiaTheme="minorEastAsia"/>
        </w:rPr>
      </w:pPr>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3538"/>
        <w:gridCol w:w="2696"/>
      </w:tblGrid>
      <w:tr w:rsidR="0026658B" w:rsidRPr="00EE3803" w14:paraId="6EA3A285" w14:textId="77777777" w:rsidTr="007E613D">
        <w:trPr>
          <w:trHeight w:val="839"/>
          <w:tblHeader/>
          <w:tblCellSpacing w:w="15" w:type="dxa"/>
        </w:trPr>
        <w:tc>
          <w:tcPr>
            <w:tcW w:w="1642" w:type="pct"/>
            <w:tcBorders>
              <w:top w:val="single" w:sz="4" w:space="0" w:color="auto"/>
              <w:bottom w:val="single" w:sz="4" w:space="0" w:color="auto"/>
            </w:tcBorders>
            <w:vAlign w:val="center"/>
            <w:hideMark/>
          </w:tcPr>
          <w:p w14:paraId="6655DF7E" w14:textId="77777777" w:rsidR="0026658B" w:rsidRPr="00EE3803" w:rsidRDefault="0026658B" w:rsidP="00A81F5E">
            <w:pPr>
              <w:rPr>
                <w:b/>
                <w:bCs/>
              </w:rPr>
            </w:pPr>
            <w:r w:rsidRPr="00EE3803">
              <w:rPr>
                <w:b/>
                <w:bCs/>
              </w:rPr>
              <w:lastRenderedPageBreak/>
              <w:t>Metric</w:t>
            </w:r>
          </w:p>
        </w:tc>
        <w:tc>
          <w:tcPr>
            <w:tcW w:w="1876" w:type="pct"/>
            <w:tcBorders>
              <w:top w:val="single" w:sz="4" w:space="0" w:color="auto"/>
              <w:bottom w:val="single" w:sz="4" w:space="0" w:color="auto"/>
            </w:tcBorders>
            <w:vAlign w:val="center"/>
            <w:hideMark/>
          </w:tcPr>
          <w:p w14:paraId="076BE14F" w14:textId="77777777" w:rsidR="0026658B" w:rsidRPr="00EE3803" w:rsidRDefault="0026658B" w:rsidP="00A81F5E">
            <w:pPr>
              <w:rPr>
                <w:b/>
                <w:bCs/>
              </w:rPr>
            </w:pPr>
            <w:r w:rsidRPr="00EE3803">
              <w:rPr>
                <w:b/>
                <w:bCs/>
              </w:rPr>
              <w:t>Optimal Comfort Range</w:t>
            </w:r>
          </w:p>
        </w:tc>
        <w:tc>
          <w:tcPr>
            <w:tcW w:w="1417" w:type="pct"/>
            <w:tcBorders>
              <w:top w:val="single" w:sz="4" w:space="0" w:color="auto"/>
              <w:bottom w:val="single" w:sz="4" w:space="0" w:color="auto"/>
            </w:tcBorders>
            <w:vAlign w:val="center"/>
            <w:hideMark/>
          </w:tcPr>
          <w:p w14:paraId="50AF42D4" w14:textId="77777777" w:rsidR="0026658B" w:rsidRPr="00EE3803" w:rsidRDefault="0026658B" w:rsidP="00A81F5E">
            <w:pPr>
              <w:rPr>
                <w:b/>
                <w:bCs/>
              </w:rPr>
            </w:pPr>
            <w:r w:rsidRPr="00EE3803">
              <w:rPr>
                <w:b/>
                <w:bCs/>
              </w:rPr>
              <w:t>Source/Reference</w:t>
            </w:r>
          </w:p>
        </w:tc>
      </w:tr>
      <w:tr w:rsidR="0026658B" w:rsidRPr="00EE3803" w14:paraId="1C9726FC" w14:textId="77777777" w:rsidTr="007E613D">
        <w:trPr>
          <w:trHeight w:val="839"/>
          <w:tblCellSpacing w:w="15" w:type="dxa"/>
        </w:trPr>
        <w:tc>
          <w:tcPr>
            <w:tcW w:w="1642" w:type="pct"/>
            <w:vAlign w:val="center"/>
            <w:hideMark/>
          </w:tcPr>
          <w:p w14:paraId="169EAA8D" w14:textId="77777777" w:rsidR="0026658B" w:rsidRPr="00EE3803" w:rsidRDefault="0026658B" w:rsidP="00A81F5E">
            <w:r w:rsidRPr="00EE3803">
              <w:rPr>
                <w:b/>
                <w:bCs/>
              </w:rPr>
              <w:t>Indoor Temperature</w:t>
            </w:r>
          </w:p>
        </w:tc>
        <w:tc>
          <w:tcPr>
            <w:tcW w:w="1876" w:type="pct"/>
            <w:vAlign w:val="center"/>
            <w:hideMark/>
          </w:tcPr>
          <w:p w14:paraId="60019BCB" w14:textId="77777777" w:rsidR="0026658B" w:rsidRPr="00EE3803" w:rsidRDefault="0026658B" w:rsidP="00A81F5E">
            <w:r w:rsidRPr="00EE3803">
              <w:t>23–26°C (warmer climate</w:t>
            </w:r>
            <w:r>
              <w:t xml:space="preserve"> and 20-24 maybe in winter time</w:t>
            </w:r>
            <w:r w:rsidRPr="00EE3803">
              <w:t>)</w:t>
            </w:r>
          </w:p>
        </w:tc>
        <w:tc>
          <w:tcPr>
            <w:tcW w:w="1417" w:type="pct"/>
            <w:vAlign w:val="center"/>
            <w:hideMark/>
          </w:tcPr>
          <w:p w14:paraId="38C299E8" w14:textId="77777777" w:rsidR="0026658B" w:rsidRPr="00EE3803" w:rsidRDefault="0026658B" w:rsidP="00A81F5E">
            <w:r w:rsidRPr="00EE3803">
              <w:t>ASHRAE 55 Adaptive Comfort</w:t>
            </w:r>
          </w:p>
        </w:tc>
      </w:tr>
      <w:tr w:rsidR="0026658B" w:rsidRPr="00EE3803" w14:paraId="76F11A19" w14:textId="77777777" w:rsidTr="007E613D">
        <w:trPr>
          <w:trHeight w:val="839"/>
          <w:tblCellSpacing w:w="15" w:type="dxa"/>
        </w:trPr>
        <w:tc>
          <w:tcPr>
            <w:tcW w:w="1642" w:type="pct"/>
            <w:vAlign w:val="center"/>
            <w:hideMark/>
          </w:tcPr>
          <w:p w14:paraId="6DBF52E2" w14:textId="77777777" w:rsidR="0026658B" w:rsidRPr="00EE3803" w:rsidRDefault="0026658B" w:rsidP="00A81F5E">
            <w:r w:rsidRPr="00EE3803">
              <w:rPr>
                <w:b/>
                <w:bCs/>
              </w:rPr>
              <w:t>Relative Humidity</w:t>
            </w:r>
          </w:p>
        </w:tc>
        <w:tc>
          <w:tcPr>
            <w:tcW w:w="1876" w:type="pct"/>
            <w:vAlign w:val="center"/>
            <w:hideMark/>
          </w:tcPr>
          <w:p w14:paraId="5FDB90ED" w14:textId="77777777" w:rsidR="0026658B" w:rsidRPr="00EE3803" w:rsidRDefault="0026658B" w:rsidP="00A81F5E">
            <w:r w:rsidRPr="00EE3803">
              <w:t>30–60%</w:t>
            </w:r>
          </w:p>
        </w:tc>
        <w:tc>
          <w:tcPr>
            <w:tcW w:w="1417" w:type="pct"/>
            <w:vAlign w:val="center"/>
            <w:hideMark/>
          </w:tcPr>
          <w:p w14:paraId="0553B270" w14:textId="77777777" w:rsidR="0026658B" w:rsidRPr="00EE3803" w:rsidRDefault="0026658B" w:rsidP="00A81F5E">
            <w:r w:rsidRPr="00EE3803">
              <w:t>ASHRAE 55, EN15251</w:t>
            </w:r>
          </w:p>
        </w:tc>
      </w:tr>
      <w:tr w:rsidR="0026658B" w:rsidRPr="00EE3803" w14:paraId="4EEE5478" w14:textId="77777777" w:rsidTr="007E613D">
        <w:trPr>
          <w:trHeight w:val="839"/>
          <w:tblCellSpacing w:w="15" w:type="dxa"/>
        </w:trPr>
        <w:tc>
          <w:tcPr>
            <w:tcW w:w="1642" w:type="pct"/>
            <w:vAlign w:val="center"/>
            <w:hideMark/>
          </w:tcPr>
          <w:p w14:paraId="1A831FC1" w14:textId="77777777" w:rsidR="0026658B" w:rsidRPr="00EE3803" w:rsidRDefault="0026658B" w:rsidP="00A81F5E">
            <w:r w:rsidRPr="00EE3803">
              <w:rPr>
                <w:b/>
                <w:bCs/>
              </w:rPr>
              <w:t>CO₂</w:t>
            </w:r>
          </w:p>
        </w:tc>
        <w:tc>
          <w:tcPr>
            <w:tcW w:w="1876" w:type="pct"/>
            <w:vAlign w:val="center"/>
            <w:hideMark/>
          </w:tcPr>
          <w:p w14:paraId="3365ED88" w14:textId="32FCFBAE" w:rsidR="0026658B" w:rsidRPr="00EE3803" w:rsidRDefault="0026658B" w:rsidP="00A81F5E">
            <w:r w:rsidRPr="00EE3803">
              <w:t>≤ 800–1000 ppm (optimal ≤</w:t>
            </w:r>
            <w:r w:rsidR="008F1301">
              <w:t>600</w:t>
            </w:r>
            <w:r w:rsidRPr="00EE3803">
              <w:t xml:space="preserve"> ppm)</w:t>
            </w:r>
          </w:p>
        </w:tc>
        <w:tc>
          <w:tcPr>
            <w:tcW w:w="1417" w:type="pct"/>
            <w:vAlign w:val="center"/>
            <w:hideMark/>
          </w:tcPr>
          <w:p w14:paraId="685639A5" w14:textId="77777777" w:rsidR="0026658B" w:rsidRPr="00EE3803" w:rsidRDefault="0026658B" w:rsidP="00A81F5E">
            <w:r w:rsidRPr="00EE3803">
              <w:t>ASHRAE, WHO</w:t>
            </w:r>
          </w:p>
        </w:tc>
      </w:tr>
      <w:tr w:rsidR="0026658B" w:rsidRPr="00EE3803" w14:paraId="37296F8B" w14:textId="77777777" w:rsidTr="007E613D">
        <w:trPr>
          <w:trHeight w:val="839"/>
          <w:tblCellSpacing w:w="15" w:type="dxa"/>
        </w:trPr>
        <w:tc>
          <w:tcPr>
            <w:tcW w:w="1642" w:type="pct"/>
            <w:vAlign w:val="center"/>
            <w:hideMark/>
          </w:tcPr>
          <w:p w14:paraId="282B5E28" w14:textId="77777777" w:rsidR="0026658B" w:rsidRPr="00EE3803" w:rsidRDefault="0026658B" w:rsidP="00A81F5E">
            <w:r w:rsidRPr="00EE3803">
              <w:rPr>
                <w:b/>
                <w:bCs/>
              </w:rPr>
              <w:t>PM2.5</w:t>
            </w:r>
          </w:p>
        </w:tc>
        <w:tc>
          <w:tcPr>
            <w:tcW w:w="1876" w:type="pct"/>
            <w:vAlign w:val="center"/>
            <w:hideMark/>
          </w:tcPr>
          <w:p w14:paraId="22C7E0DA" w14:textId="77777777" w:rsidR="0026658B" w:rsidRPr="00EE3803" w:rsidRDefault="0026658B" w:rsidP="00A81F5E">
            <w:r w:rsidRPr="00EE3803">
              <w:t>≤ 15 µg/m³ (24-hour avg), optimal ≤12 µg/m³</w:t>
            </w:r>
          </w:p>
        </w:tc>
        <w:tc>
          <w:tcPr>
            <w:tcW w:w="1417" w:type="pct"/>
            <w:vAlign w:val="center"/>
            <w:hideMark/>
          </w:tcPr>
          <w:p w14:paraId="6909C723" w14:textId="77777777" w:rsidR="0026658B" w:rsidRPr="00EE3803" w:rsidRDefault="0026658B" w:rsidP="00A81F5E">
            <w:r w:rsidRPr="00EE3803">
              <w:t>WHO Air Quality Guidelines</w:t>
            </w:r>
          </w:p>
        </w:tc>
      </w:tr>
    </w:tbl>
    <w:p w14:paraId="565C14AC" w14:textId="77777777" w:rsidR="0026658B" w:rsidRDefault="0026658B" w:rsidP="005913A0">
      <w:pPr>
        <w:rPr>
          <w:rFonts w:eastAsiaTheme="minorEastAsia"/>
        </w:rPr>
      </w:pPr>
    </w:p>
    <w:p w14:paraId="069705B6" w14:textId="2070C3DC" w:rsidR="000B0846" w:rsidRDefault="000B0846" w:rsidP="005913A0">
      <w:pPr>
        <w:rPr>
          <w:rFonts w:eastAsiaTheme="minorEastAsia"/>
        </w:rPr>
      </w:pPr>
      <w:r w:rsidRPr="000B0846">
        <w:rPr>
          <w:rFonts w:eastAsiaTheme="minorEastAsia"/>
          <w:noProof/>
        </w:rPr>
        <w:drawing>
          <wp:inline distT="0" distB="0" distL="0" distR="0" wp14:anchorId="21167FC7" wp14:editId="04DB437F">
            <wp:extent cx="5943600" cy="4019550"/>
            <wp:effectExtent l="0" t="0" r="0" b="0"/>
            <wp:docPr id="20273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2625" name=""/>
                    <pic:cNvPicPr/>
                  </pic:nvPicPr>
                  <pic:blipFill>
                    <a:blip r:embed="rId8"/>
                    <a:stretch>
                      <a:fillRect/>
                    </a:stretch>
                  </pic:blipFill>
                  <pic:spPr>
                    <a:xfrm>
                      <a:off x="0" y="0"/>
                      <a:ext cx="5943600" cy="4019550"/>
                    </a:xfrm>
                    <a:prstGeom prst="rect">
                      <a:avLst/>
                    </a:prstGeom>
                  </pic:spPr>
                </pic:pic>
              </a:graphicData>
            </a:graphic>
          </wp:inline>
        </w:drawing>
      </w:r>
    </w:p>
    <w:p w14:paraId="7B1CBEB5" w14:textId="09BC7387" w:rsidR="00745543" w:rsidRDefault="000B0846" w:rsidP="00CC3BDB">
      <w:r w:rsidRPr="000B0846">
        <w:rPr>
          <w:noProof/>
        </w:rPr>
        <w:lastRenderedPageBreak/>
        <w:drawing>
          <wp:inline distT="0" distB="0" distL="0" distR="0" wp14:anchorId="1DA8C435" wp14:editId="39D150B0">
            <wp:extent cx="5943600" cy="4019550"/>
            <wp:effectExtent l="0" t="0" r="0" b="0"/>
            <wp:docPr id="2100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943" name=""/>
                    <pic:cNvPicPr/>
                  </pic:nvPicPr>
                  <pic:blipFill>
                    <a:blip r:embed="rId9"/>
                    <a:stretch>
                      <a:fillRect/>
                    </a:stretch>
                  </pic:blipFill>
                  <pic:spPr>
                    <a:xfrm>
                      <a:off x="0" y="0"/>
                      <a:ext cx="5943600" cy="4019550"/>
                    </a:xfrm>
                    <a:prstGeom prst="rect">
                      <a:avLst/>
                    </a:prstGeom>
                  </pic:spPr>
                </pic:pic>
              </a:graphicData>
            </a:graphic>
          </wp:inline>
        </w:drawing>
      </w:r>
    </w:p>
    <w:p w14:paraId="11279A7A" w14:textId="630788DA" w:rsidR="00745543" w:rsidRDefault="00745543" w:rsidP="00CC3BDB">
      <w:r w:rsidRPr="00745543">
        <w:rPr>
          <w:noProof/>
        </w:rPr>
        <w:drawing>
          <wp:inline distT="0" distB="0" distL="0" distR="0" wp14:anchorId="3319EBFD" wp14:editId="6798552B">
            <wp:extent cx="5943600" cy="4019550"/>
            <wp:effectExtent l="0" t="0" r="0" b="0"/>
            <wp:docPr id="19769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94186" name=""/>
                    <pic:cNvPicPr/>
                  </pic:nvPicPr>
                  <pic:blipFill>
                    <a:blip r:embed="rId10"/>
                    <a:stretch>
                      <a:fillRect/>
                    </a:stretch>
                  </pic:blipFill>
                  <pic:spPr>
                    <a:xfrm>
                      <a:off x="0" y="0"/>
                      <a:ext cx="5943600" cy="4019550"/>
                    </a:xfrm>
                    <a:prstGeom prst="rect">
                      <a:avLst/>
                    </a:prstGeom>
                  </pic:spPr>
                </pic:pic>
              </a:graphicData>
            </a:graphic>
          </wp:inline>
        </w:drawing>
      </w:r>
    </w:p>
    <w:p w14:paraId="520F4251" w14:textId="3D4A3F8E" w:rsidR="00745543" w:rsidRDefault="00745543" w:rsidP="00CC3BDB">
      <w:r w:rsidRPr="00745543">
        <w:rPr>
          <w:noProof/>
        </w:rPr>
        <w:lastRenderedPageBreak/>
        <w:drawing>
          <wp:inline distT="0" distB="0" distL="0" distR="0" wp14:anchorId="6474F48A" wp14:editId="759E1BA3">
            <wp:extent cx="5943600" cy="4019550"/>
            <wp:effectExtent l="0" t="0" r="0" b="0"/>
            <wp:docPr id="7432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22405" name=""/>
                    <pic:cNvPicPr/>
                  </pic:nvPicPr>
                  <pic:blipFill>
                    <a:blip r:embed="rId11"/>
                    <a:stretch>
                      <a:fillRect/>
                    </a:stretch>
                  </pic:blipFill>
                  <pic:spPr>
                    <a:xfrm>
                      <a:off x="0" y="0"/>
                      <a:ext cx="5943600" cy="4019550"/>
                    </a:xfrm>
                    <a:prstGeom prst="rect">
                      <a:avLst/>
                    </a:prstGeom>
                  </pic:spPr>
                </pic:pic>
              </a:graphicData>
            </a:graphic>
          </wp:inline>
        </w:drawing>
      </w:r>
    </w:p>
    <w:p w14:paraId="4FA21BE7" w14:textId="05452B4C" w:rsidR="007E613D" w:rsidRDefault="0026658B" w:rsidP="00547A28">
      <w:r>
        <w:t>The resulting plots</w:t>
      </w:r>
      <w:r w:rsidR="000B0846">
        <w:t xml:space="preserve"> over 1 month</w:t>
      </w:r>
      <w:r>
        <w:t xml:space="preserve"> of </w:t>
      </w:r>
      <w:r w:rsidR="000B0846">
        <w:t xml:space="preserve">2 </w:t>
      </w:r>
      <w:r>
        <w:t>rooms with our available data are shown below</w:t>
      </w:r>
    </w:p>
    <w:p w14:paraId="61C4724C" w14:textId="37915BB4" w:rsidR="0026658B" w:rsidRDefault="0026658B" w:rsidP="00CC3BDB">
      <w:r w:rsidRPr="0026658B">
        <w:rPr>
          <w:noProof/>
        </w:rPr>
        <w:drawing>
          <wp:inline distT="0" distB="0" distL="0" distR="0" wp14:anchorId="5E77C874" wp14:editId="522BD1CF">
            <wp:extent cx="5943600" cy="3627120"/>
            <wp:effectExtent l="0" t="0" r="0" b="0"/>
            <wp:docPr id="188835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5250" name=""/>
                    <pic:cNvPicPr/>
                  </pic:nvPicPr>
                  <pic:blipFill>
                    <a:blip r:embed="rId12"/>
                    <a:stretch>
                      <a:fillRect/>
                    </a:stretch>
                  </pic:blipFill>
                  <pic:spPr>
                    <a:xfrm>
                      <a:off x="0" y="0"/>
                      <a:ext cx="5943600" cy="3627120"/>
                    </a:xfrm>
                    <a:prstGeom prst="rect">
                      <a:avLst/>
                    </a:prstGeom>
                  </pic:spPr>
                </pic:pic>
              </a:graphicData>
            </a:graphic>
          </wp:inline>
        </w:drawing>
      </w:r>
    </w:p>
    <w:p w14:paraId="0FD7B609" w14:textId="11C9918C" w:rsidR="0026658B" w:rsidRDefault="0026658B" w:rsidP="00CC3BDB">
      <w:r w:rsidRPr="0026658B">
        <w:rPr>
          <w:noProof/>
        </w:rPr>
        <w:lastRenderedPageBreak/>
        <w:drawing>
          <wp:inline distT="0" distB="0" distL="0" distR="0" wp14:anchorId="7CE1533E" wp14:editId="01BE26DD">
            <wp:extent cx="5943600" cy="3627120"/>
            <wp:effectExtent l="0" t="0" r="0" b="0"/>
            <wp:docPr id="1553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164" name=""/>
                    <pic:cNvPicPr/>
                  </pic:nvPicPr>
                  <pic:blipFill>
                    <a:blip r:embed="rId13"/>
                    <a:stretch>
                      <a:fillRect/>
                    </a:stretch>
                  </pic:blipFill>
                  <pic:spPr>
                    <a:xfrm>
                      <a:off x="0" y="0"/>
                      <a:ext cx="5943600" cy="3627120"/>
                    </a:xfrm>
                    <a:prstGeom prst="rect">
                      <a:avLst/>
                    </a:prstGeom>
                  </pic:spPr>
                </pic:pic>
              </a:graphicData>
            </a:graphic>
          </wp:inline>
        </w:drawing>
      </w:r>
    </w:p>
    <w:p w14:paraId="4B3CE549" w14:textId="77777777" w:rsidR="000B0846" w:rsidRDefault="000B0846" w:rsidP="00CC3BDB"/>
    <w:p w14:paraId="5CB014B2" w14:textId="28CCC15E" w:rsidR="000B0846" w:rsidRDefault="000B0846" w:rsidP="000B0846">
      <w:pPr>
        <w:pStyle w:val="HeadingBody"/>
      </w:pPr>
      <w:bookmarkStart w:id="11" w:name="_Toc194937958"/>
      <w:r>
        <w:t>H</w:t>
      </w:r>
      <w:r w:rsidR="004B4BB4">
        <w:t>eat pump disaggregation</w:t>
      </w:r>
      <w:bookmarkEnd w:id="11"/>
    </w:p>
    <w:p w14:paraId="2B692C6E" w14:textId="2307FA34" w:rsidR="000B0846" w:rsidRDefault="008A20D8" w:rsidP="00253ED1">
      <w:pPr>
        <w:jc w:val="both"/>
      </w:pPr>
      <w:r>
        <w:t>Isolating HVAC loads with minimal data and in unsupervised way is a challenging topic in the field of Nonintrusive load monitoring. Various studies tackle the problem using supervised approaches with ground truth heat pump data</w:t>
      </w:r>
      <w:r w:rsidR="00640DD0">
        <w:t xml:space="preserve"> </w:t>
      </w:r>
      <w:r w:rsidR="00640DD0">
        <w:rPr>
          <w:rStyle w:val="EndnoteReference"/>
        </w:rPr>
        <w:endnoteReference w:id="19"/>
      </w:r>
      <w:r w:rsidR="00640DD0">
        <w:t xml:space="preserve"> </w:t>
      </w:r>
      <w:r w:rsidR="00640DD0">
        <w:rPr>
          <w:rStyle w:val="EndnoteReference"/>
        </w:rPr>
        <w:endnoteReference w:id="20"/>
      </w:r>
    </w:p>
    <w:p w14:paraId="359F5C36" w14:textId="6CAC5B94" w:rsidR="00253ED1" w:rsidRDefault="00253ED1" w:rsidP="00253ED1">
      <w:pPr>
        <w:jc w:val="both"/>
      </w:pPr>
      <w:r>
        <w:t>Most NILM algorithms rely on high frequency data (sub 1 minute samples), whereas smart meter data provide lower frequency and less granular data (15, 30 minutes or even hourly data), making the application of NILM algorithms quite challenging.</w:t>
      </w:r>
    </w:p>
    <w:p w14:paraId="573C616E" w14:textId="0A496D31" w:rsidR="00253ED1" w:rsidRDefault="00275C5F" w:rsidP="00253ED1">
      <w:pPr>
        <w:jc w:val="both"/>
      </w:pPr>
      <w:r>
        <w:t xml:space="preserve">Other papers tackle </w:t>
      </w:r>
      <w:r w:rsidR="00253ED1">
        <w:t>this problem with unsupervised clustering</w:t>
      </w:r>
      <w:r w:rsidR="00640DD0">
        <w:t xml:space="preserve"> </w:t>
      </w:r>
      <w:r w:rsidR="00640DD0">
        <w:rPr>
          <w:rStyle w:val="EndnoteReference"/>
        </w:rPr>
        <w:endnoteReference w:id="21"/>
      </w:r>
      <w:r w:rsidR="00253ED1">
        <w:t xml:space="preserve"> </w:t>
      </w:r>
      <w:r w:rsidR="00640DD0">
        <w:rPr>
          <w:rStyle w:val="EndnoteReference"/>
        </w:rPr>
        <w:endnoteReference w:id="22"/>
      </w:r>
      <w:r w:rsidR="00640DD0">
        <w:t xml:space="preserve"> </w:t>
      </w:r>
      <w:r w:rsidR="00253ED1">
        <w:t>and find success with it. Similar to</w:t>
      </w:r>
      <w:r w:rsidR="00640DD0">
        <w:t xml:space="preserve">  </w:t>
      </w:r>
      <w:r w:rsidR="00253ED1">
        <w:t xml:space="preserve">we apply clustering using </w:t>
      </w:r>
      <w:proofErr w:type="spellStart"/>
      <w:r w:rsidR="00253ED1">
        <w:t>kmean</w:t>
      </w:r>
      <w:r w:rsidR="00640DD0">
        <w:t>s</w:t>
      </w:r>
      <w:proofErr w:type="spellEnd"/>
      <w:r w:rsidR="00253ED1">
        <w:t xml:space="preserve">, </w:t>
      </w:r>
      <w:proofErr w:type="spellStart"/>
      <w:r w:rsidR="00253ED1">
        <w:t>gmm</w:t>
      </w:r>
      <w:proofErr w:type="spellEnd"/>
      <w:r w:rsidR="00253ED1">
        <w:t xml:space="preserve"> and </w:t>
      </w:r>
      <w:proofErr w:type="spellStart"/>
      <w:r w:rsidR="00253ED1">
        <w:t>dbscan</w:t>
      </w:r>
      <w:proofErr w:type="spellEnd"/>
      <w:r w:rsidR="00253ED1">
        <w:t xml:space="preserve"> algorithms. Our main goal is the extraction of the heat pump’s activation cycles. We feed the algorithms the following features (some are feature engineered from total energy, temperature and timestamp data and using rolling windows): </w:t>
      </w:r>
    </w:p>
    <w:p w14:paraId="695A9AE9" w14:textId="022DFAB7" w:rsidR="00253ED1" w:rsidRDefault="00253ED1" w:rsidP="00253ED1">
      <w:pPr>
        <w:jc w:val="both"/>
      </w:pPr>
      <w:r>
        <w:t>Temperature hourly mean, rolling energy mean (hourly), hour of the day, month, daily energy diff (we subtract the minimum energy from the maximum energy of the day) and energy differential between consecutive timesteps.</w:t>
      </w:r>
      <w:r w:rsidR="00A66075">
        <w:t xml:space="preserve"> Missing values from the windows are padded using backwards fill method. We also use </w:t>
      </w:r>
      <w:proofErr w:type="spellStart"/>
      <w:r w:rsidR="00A66075">
        <w:t>MinMaxScaler</w:t>
      </w:r>
      <w:proofErr w:type="spellEnd"/>
      <w:r w:rsidR="00A66075">
        <w:t xml:space="preserve"> to normalize all the features.</w:t>
      </w:r>
    </w:p>
    <w:p w14:paraId="1699EB60" w14:textId="2CFD2F33" w:rsidR="00253ED1" w:rsidRDefault="00A66075" w:rsidP="00253ED1">
      <w:pPr>
        <w:jc w:val="both"/>
      </w:pPr>
      <w:r w:rsidRPr="00A66075">
        <w:rPr>
          <w:noProof/>
        </w:rPr>
        <w:lastRenderedPageBreak/>
        <w:drawing>
          <wp:inline distT="0" distB="0" distL="0" distR="0" wp14:anchorId="0808787E" wp14:editId="5F50CC17">
            <wp:extent cx="5943600" cy="3784600"/>
            <wp:effectExtent l="0" t="0" r="0" b="6350"/>
            <wp:docPr id="17051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28406" name=""/>
                    <pic:cNvPicPr/>
                  </pic:nvPicPr>
                  <pic:blipFill>
                    <a:blip r:embed="rId14"/>
                    <a:stretch>
                      <a:fillRect/>
                    </a:stretch>
                  </pic:blipFill>
                  <pic:spPr>
                    <a:xfrm>
                      <a:off x="0" y="0"/>
                      <a:ext cx="5943600" cy="3784600"/>
                    </a:xfrm>
                    <a:prstGeom prst="rect">
                      <a:avLst/>
                    </a:prstGeom>
                  </pic:spPr>
                </pic:pic>
              </a:graphicData>
            </a:graphic>
          </wp:inline>
        </w:drawing>
      </w:r>
    </w:p>
    <w:p w14:paraId="6AF1543D" w14:textId="3175EAB4" w:rsidR="00253ED1" w:rsidRDefault="00A66075" w:rsidP="00253ED1">
      <w:pPr>
        <w:jc w:val="both"/>
      </w:pPr>
      <w:r w:rsidRPr="00A66075">
        <w:rPr>
          <w:noProof/>
        </w:rPr>
        <w:drawing>
          <wp:inline distT="0" distB="0" distL="0" distR="0" wp14:anchorId="13B9CD71" wp14:editId="188C825C">
            <wp:extent cx="5943600" cy="3784600"/>
            <wp:effectExtent l="0" t="0" r="0" b="6350"/>
            <wp:docPr id="141731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19053" name=""/>
                    <pic:cNvPicPr/>
                  </pic:nvPicPr>
                  <pic:blipFill>
                    <a:blip r:embed="rId15"/>
                    <a:stretch>
                      <a:fillRect/>
                    </a:stretch>
                  </pic:blipFill>
                  <pic:spPr>
                    <a:xfrm>
                      <a:off x="0" y="0"/>
                      <a:ext cx="5943600" cy="3784600"/>
                    </a:xfrm>
                    <a:prstGeom prst="rect">
                      <a:avLst/>
                    </a:prstGeom>
                  </pic:spPr>
                </pic:pic>
              </a:graphicData>
            </a:graphic>
          </wp:inline>
        </w:drawing>
      </w:r>
    </w:p>
    <w:p w14:paraId="631DA03E" w14:textId="4C96DE2F" w:rsidR="00A66075" w:rsidRDefault="00A66075" w:rsidP="00253ED1">
      <w:pPr>
        <w:jc w:val="both"/>
      </w:pPr>
      <w:r w:rsidRPr="00A66075">
        <w:rPr>
          <w:noProof/>
        </w:rPr>
        <w:lastRenderedPageBreak/>
        <w:drawing>
          <wp:inline distT="0" distB="0" distL="0" distR="0" wp14:anchorId="52D6878A" wp14:editId="3710A500">
            <wp:extent cx="5943600" cy="3784600"/>
            <wp:effectExtent l="0" t="0" r="0" b="6350"/>
            <wp:docPr id="85955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1383" name=""/>
                    <pic:cNvPicPr/>
                  </pic:nvPicPr>
                  <pic:blipFill>
                    <a:blip r:embed="rId16"/>
                    <a:stretch>
                      <a:fillRect/>
                    </a:stretch>
                  </pic:blipFill>
                  <pic:spPr>
                    <a:xfrm>
                      <a:off x="0" y="0"/>
                      <a:ext cx="5943600" cy="3784600"/>
                    </a:xfrm>
                    <a:prstGeom prst="rect">
                      <a:avLst/>
                    </a:prstGeom>
                  </pic:spPr>
                </pic:pic>
              </a:graphicData>
            </a:graphic>
          </wp:inline>
        </w:drawing>
      </w:r>
    </w:p>
    <w:p w14:paraId="743336D7" w14:textId="77777777" w:rsidR="00A66075" w:rsidRDefault="00A66075" w:rsidP="00253ED1">
      <w:pPr>
        <w:jc w:val="both"/>
      </w:pPr>
    </w:p>
    <w:p w14:paraId="26280489" w14:textId="1BFAD3B0" w:rsidR="00A66075" w:rsidRDefault="00A66075" w:rsidP="00253ED1">
      <w:pPr>
        <w:jc w:val="both"/>
      </w:pPr>
      <w:r>
        <w:t xml:space="preserve">From those clusters we identify the lowest mean energy cluster and assume it as a baseline load. Subtracting this from the total energy we get a HVAC predicted load. </w:t>
      </w:r>
    </w:p>
    <w:p w14:paraId="57336D8D" w14:textId="511706BC" w:rsidR="00A66075" w:rsidRDefault="00A66075" w:rsidP="00253ED1">
      <w:pPr>
        <w:jc w:val="both"/>
      </w:pPr>
      <w:r>
        <w:t>To test the proposed methodology we used a household dataset from Germany</w:t>
      </w:r>
      <w:r w:rsidR="00640DD0">
        <w:t xml:space="preserve"> </w:t>
      </w:r>
      <w:r w:rsidR="00640DD0">
        <w:rPr>
          <w:rStyle w:val="EndnoteReference"/>
        </w:rPr>
        <w:endnoteReference w:id="23"/>
      </w:r>
      <w:r>
        <w:t xml:space="preserve"> that uses heat pump for space and water heating and provides heat pump ground truth data (15 minutes sampling). </w:t>
      </w:r>
      <w:r w:rsidRPr="00A66075">
        <w:t>Additionally, we assume that timesteps with an active power consumption with less than 100</w:t>
      </w:r>
      <w:r w:rsidRPr="00A66075">
        <w:rPr>
          <w:rFonts w:ascii="Arial" w:hAnsi="Arial" w:cs="Arial"/>
        </w:rPr>
        <w:t> </w:t>
      </w:r>
      <w:r w:rsidRPr="00A66075">
        <w:t>W is stand-by operation</w:t>
      </w:r>
      <w:r>
        <w:t xml:space="preserve"> (as the paper also denotes).</w:t>
      </w:r>
    </w:p>
    <w:p w14:paraId="429A0C8A" w14:textId="25B14A2B" w:rsidR="00A66075" w:rsidRDefault="009A31C1" w:rsidP="00253ED1">
      <w:pPr>
        <w:jc w:val="both"/>
      </w:pPr>
      <w:r>
        <w:t>By applying the clustering methodology to identify heat pump active load periods we get 92% accuracy:</w:t>
      </w:r>
    </w:p>
    <w:tbl>
      <w:tblPr>
        <w:tblStyle w:val="TableGrid"/>
        <w:tblW w:w="0" w:type="auto"/>
        <w:tblLook w:val="04A0" w:firstRow="1" w:lastRow="0" w:firstColumn="1" w:lastColumn="0" w:noHBand="0" w:noVBand="1"/>
      </w:tblPr>
      <w:tblGrid>
        <w:gridCol w:w="1870"/>
        <w:gridCol w:w="1870"/>
        <w:gridCol w:w="1870"/>
        <w:gridCol w:w="1870"/>
        <w:gridCol w:w="1870"/>
      </w:tblGrid>
      <w:tr w:rsidR="009A31C1" w:rsidRPr="009A31C1" w14:paraId="1E818489" w14:textId="77777777" w:rsidTr="009A31C1">
        <w:tc>
          <w:tcPr>
            <w:tcW w:w="1870" w:type="dxa"/>
          </w:tcPr>
          <w:p w14:paraId="03FD02D7" w14:textId="77777777" w:rsidR="009A31C1" w:rsidRPr="009A31C1" w:rsidRDefault="009A31C1" w:rsidP="00AF09F7">
            <w:pPr>
              <w:jc w:val="both"/>
            </w:pPr>
            <w:r w:rsidRPr="009A31C1">
              <w:t>Class</w:t>
            </w:r>
          </w:p>
        </w:tc>
        <w:tc>
          <w:tcPr>
            <w:tcW w:w="1870" w:type="dxa"/>
          </w:tcPr>
          <w:p w14:paraId="1C62A330" w14:textId="77777777" w:rsidR="009A31C1" w:rsidRPr="009A31C1" w:rsidRDefault="009A31C1" w:rsidP="00AF09F7">
            <w:pPr>
              <w:jc w:val="both"/>
            </w:pPr>
            <w:r w:rsidRPr="009A31C1">
              <w:t>Precision</w:t>
            </w:r>
          </w:p>
        </w:tc>
        <w:tc>
          <w:tcPr>
            <w:tcW w:w="1870" w:type="dxa"/>
          </w:tcPr>
          <w:p w14:paraId="0F1B1AF1" w14:textId="77777777" w:rsidR="009A31C1" w:rsidRPr="009A31C1" w:rsidRDefault="009A31C1" w:rsidP="00AF09F7">
            <w:pPr>
              <w:jc w:val="both"/>
            </w:pPr>
            <w:r w:rsidRPr="009A31C1">
              <w:t>Recall</w:t>
            </w:r>
          </w:p>
        </w:tc>
        <w:tc>
          <w:tcPr>
            <w:tcW w:w="1870" w:type="dxa"/>
          </w:tcPr>
          <w:p w14:paraId="1DE5535D" w14:textId="77777777" w:rsidR="009A31C1" w:rsidRPr="009A31C1" w:rsidRDefault="009A31C1" w:rsidP="00AF09F7">
            <w:pPr>
              <w:jc w:val="both"/>
            </w:pPr>
            <w:r w:rsidRPr="009A31C1">
              <w:t>F1-Score</w:t>
            </w:r>
          </w:p>
        </w:tc>
        <w:tc>
          <w:tcPr>
            <w:tcW w:w="1870" w:type="dxa"/>
          </w:tcPr>
          <w:p w14:paraId="01BBD907" w14:textId="77777777" w:rsidR="009A31C1" w:rsidRPr="009A31C1" w:rsidRDefault="009A31C1" w:rsidP="00AF09F7">
            <w:pPr>
              <w:jc w:val="both"/>
            </w:pPr>
            <w:r w:rsidRPr="009A31C1">
              <w:t>Support</w:t>
            </w:r>
          </w:p>
        </w:tc>
      </w:tr>
      <w:tr w:rsidR="009A31C1" w:rsidRPr="009A31C1" w14:paraId="727B33EC" w14:textId="77777777" w:rsidTr="009A31C1">
        <w:tc>
          <w:tcPr>
            <w:tcW w:w="1870" w:type="dxa"/>
          </w:tcPr>
          <w:p w14:paraId="69C64EF1" w14:textId="77777777" w:rsidR="009A31C1" w:rsidRPr="009A31C1" w:rsidRDefault="009A31C1" w:rsidP="00AF09F7">
            <w:pPr>
              <w:jc w:val="both"/>
            </w:pPr>
            <w:r w:rsidRPr="009A31C1">
              <w:t>0</w:t>
            </w:r>
          </w:p>
        </w:tc>
        <w:tc>
          <w:tcPr>
            <w:tcW w:w="1870" w:type="dxa"/>
          </w:tcPr>
          <w:p w14:paraId="77CF55DB" w14:textId="77777777" w:rsidR="009A31C1" w:rsidRPr="009A31C1" w:rsidRDefault="009A31C1" w:rsidP="00AF09F7">
            <w:pPr>
              <w:jc w:val="both"/>
            </w:pPr>
            <w:r w:rsidRPr="009A31C1">
              <w:t>0.909</w:t>
            </w:r>
          </w:p>
        </w:tc>
        <w:tc>
          <w:tcPr>
            <w:tcW w:w="1870" w:type="dxa"/>
          </w:tcPr>
          <w:p w14:paraId="681D9862" w14:textId="77777777" w:rsidR="009A31C1" w:rsidRPr="009A31C1" w:rsidRDefault="009A31C1" w:rsidP="00AF09F7">
            <w:pPr>
              <w:jc w:val="both"/>
            </w:pPr>
            <w:r w:rsidRPr="009A31C1">
              <w:t>0.948</w:t>
            </w:r>
          </w:p>
        </w:tc>
        <w:tc>
          <w:tcPr>
            <w:tcW w:w="1870" w:type="dxa"/>
          </w:tcPr>
          <w:p w14:paraId="526BE21C" w14:textId="77777777" w:rsidR="009A31C1" w:rsidRPr="009A31C1" w:rsidRDefault="009A31C1" w:rsidP="00AF09F7">
            <w:pPr>
              <w:jc w:val="both"/>
            </w:pPr>
            <w:r w:rsidRPr="009A31C1">
              <w:t>0.928</w:t>
            </w:r>
          </w:p>
        </w:tc>
        <w:tc>
          <w:tcPr>
            <w:tcW w:w="1870" w:type="dxa"/>
          </w:tcPr>
          <w:p w14:paraId="0FCE2557" w14:textId="77777777" w:rsidR="009A31C1" w:rsidRPr="009A31C1" w:rsidRDefault="009A31C1" w:rsidP="00AF09F7">
            <w:pPr>
              <w:jc w:val="both"/>
            </w:pPr>
            <w:r w:rsidRPr="009A31C1">
              <w:t>11,409</w:t>
            </w:r>
          </w:p>
        </w:tc>
      </w:tr>
      <w:tr w:rsidR="009A31C1" w:rsidRPr="009A31C1" w14:paraId="1FD374A0" w14:textId="77777777" w:rsidTr="009A31C1">
        <w:tc>
          <w:tcPr>
            <w:tcW w:w="1870" w:type="dxa"/>
          </w:tcPr>
          <w:p w14:paraId="7B83E336" w14:textId="77777777" w:rsidR="009A31C1" w:rsidRPr="009A31C1" w:rsidRDefault="009A31C1" w:rsidP="00AF09F7">
            <w:pPr>
              <w:jc w:val="both"/>
            </w:pPr>
            <w:r w:rsidRPr="009A31C1">
              <w:t>1</w:t>
            </w:r>
          </w:p>
        </w:tc>
        <w:tc>
          <w:tcPr>
            <w:tcW w:w="1870" w:type="dxa"/>
          </w:tcPr>
          <w:p w14:paraId="0DB07FD6" w14:textId="77777777" w:rsidR="009A31C1" w:rsidRPr="009A31C1" w:rsidRDefault="009A31C1" w:rsidP="00AF09F7">
            <w:pPr>
              <w:jc w:val="both"/>
            </w:pPr>
            <w:r w:rsidRPr="009A31C1">
              <w:t>0.935</w:t>
            </w:r>
          </w:p>
        </w:tc>
        <w:tc>
          <w:tcPr>
            <w:tcW w:w="1870" w:type="dxa"/>
          </w:tcPr>
          <w:p w14:paraId="4724F9E7" w14:textId="77777777" w:rsidR="009A31C1" w:rsidRPr="009A31C1" w:rsidRDefault="009A31C1" w:rsidP="00AF09F7">
            <w:pPr>
              <w:jc w:val="both"/>
            </w:pPr>
            <w:r w:rsidRPr="009A31C1">
              <w:t>0.887</w:t>
            </w:r>
          </w:p>
        </w:tc>
        <w:tc>
          <w:tcPr>
            <w:tcW w:w="1870" w:type="dxa"/>
          </w:tcPr>
          <w:p w14:paraId="7093DF7E" w14:textId="77777777" w:rsidR="009A31C1" w:rsidRPr="009A31C1" w:rsidRDefault="009A31C1" w:rsidP="00AF09F7">
            <w:pPr>
              <w:jc w:val="both"/>
            </w:pPr>
            <w:r w:rsidRPr="009A31C1">
              <w:t>0.910</w:t>
            </w:r>
          </w:p>
        </w:tc>
        <w:tc>
          <w:tcPr>
            <w:tcW w:w="1870" w:type="dxa"/>
          </w:tcPr>
          <w:p w14:paraId="73F1D709" w14:textId="77777777" w:rsidR="009A31C1" w:rsidRPr="009A31C1" w:rsidRDefault="009A31C1" w:rsidP="00AF09F7">
            <w:pPr>
              <w:jc w:val="both"/>
            </w:pPr>
            <w:r w:rsidRPr="009A31C1">
              <w:t>9,613</w:t>
            </w:r>
          </w:p>
        </w:tc>
      </w:tr>
      <w:tr w:rsidR="009A31C1" w:rsidRPr="009A31C1" w14:paraId="43887B47" w14:textId="77777777" w:rsidTr="009A31C1">
        <w:tc>
          <w:tcPr>
            <w:tcW w:w="1870" w:type="dxa"/>
          </w:tcPr>
          <w:p w14:paraId="0E2DD773" w14:textId="77777777" w:rsidR="009A31C1" w:rsidRPr="009A31C1" w:rsidRDefault="009A31C1" w:rsidP="00AF09F7">
            <w:pPr>
              <w:jc w:val="both"/>
            </w:pPr>
            <w:r w:rsidRPr="009A31C1">
              <w:t>Accuracy</w:t>
            </w:r>
          </w:p>
        </w:tc>
        <w:tc>
          <w:tcPr>
            <w:tcW w:w="1870" w:type="dxa"/>
          </w:tcPr>
          <w:p w14:paraId="0FAF0888" w14:textId="77777777" w:rsidR="009A31C1" w:rsidRPr="009A31C1" w:rsidRDefault="009A31C1" w:rsidP="00AF09F7">
            <w:pPr>
              <w:jc w:val="both"/>
            </w:pPr>
            <w:r w:rsidRPr="009A31C1">
              <w:t>-</w:t>
            </w:r>
          </w:p>
        </w:tc>
        <w:tc>
          <w:tcPr>
            <w:tcW w:w="1870" w:type="dxa"/>
          </w:tcPr>
          <w:p w14:paraId="48E71442" w14:textId="77777777" w:rsidR="009A31C1" w:rsidRPr="009A31C1" w:rsidRDefault="009A31C1" w:rsidP="00AF09F7">
            <w:pPr>
              <w:jc w:val="both"/>
            </w:pPr>
            <w:r w:rsidRPr="009A31C1">
              <w:t>-</w:t>
            </w:r>
          </w:p>
        </w:tc>
        <w:tc>
          <w:tcPr>
            <w:tcW w:w="1870" w:type="dxa"/>
          </w:tcPr>
          <w:p w14:paraId="6401136C" w14:textId="77777777" w:rsidR="009A31C1" w:rsidRPr="009A31C1" w:rsidRDefault="009A31C1" w:rsidP="00AF09F7">
            <w:pPr>
              <w:jc w:val="both"/>
            </w:pPr>
            <w:r w:rsidRPr="009A31C1">
              <w:t>0.920</w:t>
            </w:r>
          </w:p>
        </w:tc>
        <w:tc>
          <w:tcPr>
            <w:tcW w:w="1870" w:type="dxa"/>
          </w:tcPr>
          <w:p w14:paraId="18530235" w14:textId="77777777" w:rsidR="009A31C1" w:rsidRPr="009A31C1" w:rsidRDefault="009A31C1" w:rsidP="00AF09F7">
            <w:pPr>
              <w:jc w:val="both"/>
            </w:pPr>
            <w:r w:rsidRPr="009A31C1">
              <w:t>21,022</w:t>
            </w:r>
          </w:p>
        </w:tc>
      </w:tr>
    </w:tbl>
    <w:p w14:paraId="4AF86617" w14:textId="1B48D695" w:rsidR="009A31C1" w:rsidRDefault="009A31C1" w:rsidP="00253ED1">
      <w:pPr>
        <w:jc w:val="both"/>
      </w:pPr>
    </w:p>
    <w:p w14:paraId="490B8A29" w14:textId="59B53804" w:rsidR="00A66075" w:rsidRDefault="00A66075" w:rsidP="00253ED1">
      <w:pPr>
        <w:jc w:val="both"/>
      </w:pPr>
    </w:p>
    <w:p w14:paraId="7EEB3BE3" w14:textId="7DE76155" w:rsidR="005C13FF" w:rsidRPr="005C13FF" w:rsidRDefault="005C13FF" w:rsidP="005C13FF"/>
    <w:p w14:paraId="4D15ED3A" w14:textId="37446340" w:rsidR="005C13FF" w:rsidRPr="005C13FF" w:rsidRDefault="005C13FF" w:rsidP="005C13FF"/>
    <w:p w14:paraId="3091B215" w14:textId="545CC9CD" w:rsidR="005C13FF" w:rsidRPr="005C13FF" w:rsidRDefault="007E613D" w:rsidP="005C13FF">
      <w:r w:rsidRPr="009A31C1">
        <w:rPr>
          <w:noProof/>
        </w:rPr>
        <w:lastRenderedPageBreak/>
        <w:drawing>
          <wp:anchor distT="0" distB="0" distL="114300" distR="114300" simplePos="0" relativeHeight="251658240" behindDoc="0" locked="0" layoutInCell="1" allowOverlap="1" wp14:anchorId="20D4EE52" wp14:editId="4B9A16A7">
            <wp:simplePos x="0" y="0"/>
            <wp:positionH relativeFrom="margin">
              <wp:posOffset>650694</wp:posOffset>
            </wp:positionH>
            <wp:positionV relativeFrom="paragraph">
              <wp:posOffset>-408667</wp:posOffset>
            </wp:positionV>
            <wp:extent cx="4293235" cy="3488055"/>
            <wp:effectExtent l="0" t="0" r="0" b="0"/>
            <wp:wrapNone/>
            <wp:docPr id="161227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4856" name=""/>
                    <pic:cNvPicPr/>
                  </pic:nvPicPr>
                  <pic:blipFill>
                    <a:blip r:embed="rId17">
                      <a:extLst>
                        <a:ext uri="{28A0092B-C50C-407E-A947-70E740481C1C}">
                          <a14:useLocalDpi xmlns:a14="http://schemas.microsoft.com/office/drawing/2010/main" val="0"/>
                        </a:ext>
                      </a:extLst>
                    </a:blip>
                    <a:stretch>
                      <a:fillRect/>
                    </a:stretch>
                  </pic:blipFill>
                  <pic:spPr>
                    <a:xfrm>
                      <a:off x="0" y="0"/>
                      <a:ext cx="4293235" cy="3488055"/>
                    </a:xfrm>
                    <a:prstGeom prst="rect">
                      <a:avLst/>
                    </a:prstGeom>
                  </pic:spPr>
                </pic:pic>
              </a:graphicData>
            </a:graphic>
            <wp14:sizeRelH relativeFrom="margin">
              <wp14:pctWidth>0</wp14:pctWidth>
            </wp14:sizeRelH>
            <wp14:sizeRelV relativeFrom="margin">
              <wp14:pctHeight>0</wp14:pctHeight>
            </wp14:sizeRelV>
          </wp:anchor>
        </w:drawing>
      </w:r>
    </w:p>
    <w:p w14:paraId="4D07FB43" w14:textId="77777777" w:rsidR="005C13FF" w:rsidRPr="005C13FF" w:rsidRDefault="005C13FF" w:rsidP="005C13FF"/>
    <w:p w14:paraId="7D0BFAAA" w14:textId="77777777" w:rsidR="005C13FF" w:rsidRPr="005C13FF" w:rsidRDefault="005C13FF" w:rsidP="005C13FF"/>
    <w:p w14:paraId="38911FE8" w14:textId="77777777" w:rsidR="005C13FF" w:rsidRPr="005C13FF" w:rsidRDefault="005C13FF" w:rsidP="005C13FF"/>
    <w:p w14:paraId="3C0ACF68" w14:textId="77777777" w:rsidR="005C13FF" w:rsidRPr="005C13FF" w:rsidRDefault="005C13FF" w:rsidP="005C13FF"/>
    <w:p w14:paraId="3E92D04E" w14:textId="77777777" w:rsidR="005C13FF" w:rsidRPr="005C13FF" w:rsidRDefault="005C13FF" w:rsidP="005C13FF"/>
    <w:p w14:paraId="48F9486E" w14:textId="77777777" w:rsidR="005C13FF" w:rsidRPr="005C13FF" w:rsidRDefault="005C13FF" w:rsidP="005C13FF"/>
    <w:p w14:paraId="5CB4DA42" w14:textId="77777777" w:rsidR="005C13FF" w:rsidRPr="005C13FF" w:rsidRDefault="005C13FF" w:rsidP="005C13FF"/>
    <w:p w14:paraId="46D59D74" w14:textId="77777777" w:rsidR="005C13FF" w:rsidRPr="005C13FF" w:rsidRDefault="005C13FF" w:rsidP="005C13FF"/>
    <w:p w14:paraId="65BC97EF" w14:textId="77777777" w:rsidR="005C13FF" w:rsidRDefault="005C13FF" w:rsidP="005C13FF"/>
    <w:p w14:paraId="259B4C74" w14:textId="77777777" w:rsidR="007E613D" w:rsidRDefault="007E613D" w:rsidP="005C13FF"/>
    <w:p w14:paraId="7D7A9B73" w14:textId="01176829" w:rsidR="005C13FF" w:rsidRDefault="005C13FF" w:rsidP="005C13FF">
      <w:pPr>
        <w:pStyle w:val="HeadingBody"/>
      </w:pPr>
      <w:bookmarkStart w:id="12" w:name="_Toc194937959"/>
      <w:r>
        <w:t>Thesis direction – In progress work</w:t>
      </w:r>
      <w:bookmarkEnd w:id="12"/>
    </w:p>
    <w:p w14:paraId="2EFA4A24" w14:textId="2981106E" w:rsidR="004B4BB4" w:rsidRDefault="005C13FF">
      <w:r>
        <w:t>We are now working on next day forecasting (energy and metrics) so that we can develop the optimization algorithm for next day load shifting. Finally</w:t>
      </w:r>
      <w:r w:rsidR="004B4BB4">
        <w:t xml:space="preserve">, </w:t>
      </w:r>
    </w:p>
    <w:p w14:paraId="7F692E05" w14:textId="238E3596" w:rsidR="005C13FF" w:rsidRDefault="005C13FF" w:rsidP="005C13FF">
      <w:r>
        <w:t>we will develop an interface for user to easily control what mode of optimization they would like for the next day.</w:t>
      </w:r>
    </w:p>
    <w:p w14:paraId="00311D42" w14:textId="77777777" w:rsidR="00670EC5" w:rsidRDefault="00670EC5" w:rsidP="005C13FF"/>
    <w:bookmarkStart w:id="13" w:name="_Toc194937960" w:displacedByCustomXml="next"/>
    <w:sdt>
      <w:sdtPr>
        <w:id w:val="-1636789906"/>
        <w:docPartObj>
          <w:docPartGallery w:val="Bibliographies"/>
          <w:docPartUnique/>
        </w:docPartObj>
      </w:sdtPr>
      <w:sdtContent>
        <w:p w14:paraId="22939B15" w14:textId="1B14BF8C" w:rsidR="00670EC5" w:rsidRPr="005C13FF" w:rsidRDefault="00670EC5" w:rsidP="00640DD0">
          <w:pPr>
            <w:pStyle w:val="Heading1"/>
          </w:pPr>
          <w:r>
            <w:t>Bibliography</w:t>
          </w:r>
        </w:p>
      </w:sdtContent>
    </w:sdt>
    <w:bookmarkEnd w:id="13" w:displacedByCustomXml="prev"/>
    <w:sectPr w:rsidR="00670EC5" w:rsidRPr="005C13FF">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2714" w14:textId="77777777" w:rsidR="009B2C03" w:rsidRDefault="009B2C03" w:rsidP="00997412">
      <w:pPr>
        <w:spacing w:after="0" w:line="240" w:lineRule="auto"/>
      </w:pPr>
      <w:r>
        <w:separator/>
      </w:r>
    </w:p>
  </w:endnote>
  <w:endnote w:type="continuationSeparator" w:id="0">
    <w:p w14:paraId="0C45F662" w14:textId="77777777" w:rsidR="009B2C03" w:rsidRDefault="009B2C03" w:rsidP="00997412">
      <w:pPr>
        <w:spacing w:after="0" w:line="240" w:lineRule="auto"/>
      </w:pPr>
      <w:r>
        <w:continuationSeparator/>
      </w:r>
    </w:p>
  </w:endnote>
  <w:endnote w:id="1">
    <w:p w14:paraId="644BDF32" w14:textId="47CC3C39" w:rsidR="00997412" w:rsidRDefault="00997412">
      <w:pPr>
        <w:pStyle w:val="EndnoteText"/>
      </w:pPr>
      <w:r>
        <w:rPr>
          <w:rStyle w:val="EndnoteReference"/>
        </w:rPr>
        <w:endnoteRef/>
      </w:r>
      <w:r>
        <w:t xml:space="preserve"> </w:t>
      </w:r>
      <w:r>
        <w:rPr>
          <w:rFonts w:ascii="Aptos" w:hAnsi="Aptos"/>
        </w:rPr>
        <w:fldChar w:fldCharType="begin"/>
      </w:r>
      <w:r w:rsidR="00405E3A">
        <w:rPr>
          <w:rFonts w:ascii="Aptos" w:hAnsi="Aptos"/>
        </w:rPr>
        <w:instrText xml:space="preserve"> ADDIN ZOTERO_ITEM CSL_CITATION {"citationID":"mywZ4qo3","properties":{"formattedCitation":"Stefano Riffelli, \\uc0\\u8216{}Global Comfort Indices in Indoor Environments: A Survey\\uc0\\u8217{}, {\\i{}Sustainability}, 13.22 (2021), p. 12784, doi:10.3390/su132212784.","plainCitation":"Stefano Riffelli, ‘Global Comfort Indices in Indoor Environments: A Survey’, Sustainability, 13.22 (2021), p. 12784, doi:10.3390/su132212784.","noteIndex":1},"citationItems":[{"id":22,"uris":["http://zotero.org/users/local/NlDyja2i/items/L8TQXNCD"],"itemData":{"id":22,"type":"article-journal","abstract":"The term “comfort” has a number of nuances and meanings according to the specific context. This study was aimed at providing a review of the influence (or “weight”) of the different factors that contribute to global comfort, commonly known as indoor environmental quality (IEQ). A dedicated section includes the methodologies and strategies for finding the most relevant studies on this topic. Resulting in 85 studies, this review outlines 27 studies containing 26 different weightings and 9 global comfort indices (GCIs) with a formula. After an overview of the main concepts, basic definitions, indices, methods and possible strategies for each type of comfort, the studies on the IEQ categories weights to reach a global comfort index are reviewed. A particular interest was paid to research with a focus on green buildings and smart homes. The core section includes global indoor environmental quality indices, besides a specific emphasis on indices found in recent literature to understand the best aspects that they all share. For each of these overall indices, some specific details are shown, such as the comfort categories, the general formula, and the methods employed. The last section reports IEQ elements percentage weighting summary, common aspects of GCIs, requisites for an indoor global comfort index (IGCI), and models adopted in comfort category weighting. Furthermore, current trends are described in the concluding remarks pointing to a better IGCI by considering additional aspects and eventually adopting artificial intelligence algorithms. This leads to the optimal control of any actuator, maximising energy savings.","container-title":"Sustainability","DOI":"10.3390/su132212784","ISSN":"2071-1050","issue":"22","language":"en","license":"http://creativecommons.org/licenses/by/3.0/","note":"number: 22\npublisher: Multidisciplinary Digital Publishing Institute","page":"12784","source":"www.mdpi.com","title":"Global Comfort Indices in Indoor Environments: A Survey","title-short":"Global Comfort Indices in Indoor Environments","volume":"13","author":[{"family":"Riffelli","given":"Stefano"}],"issued":{"date-parts":[["2021",1]]}}}],"schema":"https://github.com/citation-style-language/schema/raw/master/csl-citation.json"} </w:instrText>
      </w:r>
      <w:r>
        <w:rPr>
          <w:rFonts w:ascii="Aptos" w:hAnsi="Aptos"/>
        </w:rPr>
        <w:fldChar w:fldCharType="separate"/>
      </w:r>
      <w:r w:rsidR="00405E3A" w:rsidRPr="00405E3A">
        <w:rPr>
          <w:rFonts w:ascii="Aptos" w:hAnsi="Aptos" w:cs="Times New Roman"/>
          <w:kern w:val="0"/>
        </w:rPr>
        <w:t xml:space="preserve">Stefano Riffelli, ‘Global Comfort Indices in Indoor Environments: A Survey’, </w:t>
      </w:r>
      <w:r w:rsidR="00405E3A" w:rsidRPr="00405E3A">
        <w:rPr>
          <w:rFonts w:ascii="Aptos" w:hAnsi="Aptos" w:cs="Times New Roman"/>
          <w:i/>
          <w:iCs/>
          <w:kern w:val="0"/>
        </w:rPr>
        <w:t>Sustainability</w:t>
      </w:r>
      <w:r w:rsidR="00405E3A" w:rsidRPr="00405E3A">
        <w:rPr>
          <w:rFonts w:ascii="Aptos" w:hAnsi="Aptos" w:cs="Times New Roman"/>
          <w:kern w:val="0"/>
        </w:rPr>
        <w:t>, 13.22 (2021), p. 12784, doi:10.3390/su132212784.</w:t>
      </w:r>
      <w:r>
        <w:rPr>
          <w:rFonts w:ascii="Aptos" w:hAnsi="Aptos"/>
        </w:rPr>
        <w:fldChar w:fldCharType="end"/>
      </w:r>
    </w:p>
  </w:endnote>
  <w:endnote w:id="2">
    <w:p w14:paraId="0EC2CADD" w14:textId="25F26379" w:rsidR="00262F7D" w:rsidRDefault="00262F7D">
      <w:pPr>
        <w:pStyle w:val="EndnoteText"/>
      </w:pPr>
      <w:r>
        <w:rPr>
          <w:rStyle w:val="EndnoteReference"/>
        </w:rPr>
        <w:endnoteRef/>
      </w:r>
      <w:r>
        <w:t xml:space="preserve"> </w:t>
      </w:r>
      <w:r>
        <w:fldChar w:fldCharType="begin"/>
      </w:r>
      <w:r>
        <w:instrText xml:space="preserve"> ADDIN ZOTERO_ITEM CSL_CITATION {"citationID":"yAYS9GJ6","properties":{"formattedCitation":"Md Islam and others, {\\i{}A Review on Machine Learning for Thermal Comfort and Energy Efficiency in Smart Buildings}, 2023.","plainCitation":"Md Islam and others, A Review on Machine Learning for Thermal Comfort and Energy Efficiency in Smart Buildings, 2023.","noteIndex":2},"citationItems":[{"id":84,"uris":["http://zotero.org/users/local/NlDyja2i/items/6EY6FQ6X"],"itemData":{"id":84,"type":"book","abstract":"The integration of machine learning (ML) techniques in the field of smart buildings has gained significant attention in recent years. In this paper, we explore recent applications of machine learning in the context of smart buildings for thermal comfort and energy efficiency optimization. Through the examination of some papers, we will discuss common data collection techniques, ML models, and their applications (e.g., building management systems, energy management systems, occupancy-based heating, ventilation, and air conditioning control, indoor air quality monitoring, and many more). Finally, the paper wants to emphasize the challenges associated with integrating ML into building systems and highlight further research perspectives.","source":"ResearchGate","title":"A Review on Machine Learning for Thermal Comfort and Energy Efficiency in Smart Buildings","author":[{"family":"Islam","given":"Md"},{"family":"Guerrieri","given":"Antonio"},{"family":"Gravina","given":"Raffaele"},{"family":"Rizzo","given":"Luigi"},{"family":"Scopelliti","given":"Giuseppe"},{"family":"D'agostino","given":"Vincenzo"},{"family":"Fortino","given":"Giancarlo"}],"issued":{"date-parts":[["2023",12,15]]}}}],"schema":"https://github.com/citation-style-language/schema/raw/master/csl-citation.json"} </w:instrText>
      </w:r>
      <w:r>
        <w:fldChar w:fldCharType="separate"/>
      </w:r>
      <w:r w:rsidRPr="00262F7D">
        <w:rPr>
          <w:rFonts w:ascii="Aptos" w:hAnsi="Aptos" w:cs="Times New Roman"/>
          <w:kern w:val="0"/>
        </w:rPr>
        <w:t xml:space="preserve">Md Islam and others, </w:t>
      </w:r>
      <w:r w:rsidRPr="00262F7D">
        <w:rPr>
          <w:rFonts w:ascii="Aptos" w:hAnsi="Aptos" w:cs="Times New Roman"/>
          <w:i/>
          <w:iCs/>
          <w:kern w:val="0"/>
        </w:rPr>
        <w:t>A Review on Machine Learning for Thermal Comfort and Energy Efficiency in Smart Buildings</w:t>
      </w:r>
      <w:r w:rsidRPr="00262F7D">
        <w:rPr>
          <w:rFonts w:ascii="Aptos" w:hAnsi="Aptos" w:cs="Times New Roman"/>
          <w:kern w:val="0"/>
        </w:rPr>
        <w:t>, 2023.</w:t>
      </w:r>
      <w:r>
        <w:fldChar w:fldCharType="end"/>
      </w:r>
    </w:p>
  </w:endnote>
  <w:endnote w:id="3">
    <w:p w14:paraId="34E380D6" w14:textId="6848A6C8" w:rsidR="00405E3A" w:rsidRDefault="00405E3A">
      <w:pPr>
        <w:pStyle w:val="EndnoteText"/>
      </w:pPr>
      <w:r>
        <w:rPr>
          <w:rStyle w:val="EndnoteReference"/>
        </w:rPr>
        <w:endnoteRef/>
      </w:r>
      <w:r>
        <w:t xml:space="preserve"> </w:t>
      </w:r>
      <w:r>
        <w:fldChar w:fldCharType="begin"/>
      </w:r>
      <w:r w:rsidR="00262F7D">
        <w:instrText xml:space="preserve"> ADDIN ZOTERO_ITEM CSL_CITATION {"citationID":"qArb6qEe","properties":{"formattedCitation":"A.S.H.R.A.E., \\uc0\\u8216{}ANSI/ASHRAE Standard 55-2020. Thermal Environmental Conditions for Human Occupancy\\uc0\\u8217{}, {\\i{}2021}.","plainCitation":"A.S.H.R.A.E., ‘ANSI/ASHRAE Standard 55-2020. Thermal Environmental Conditions for Human Occupancy’, 2021.","noteIndex":3},"citationItems":[{"id":27,"uris":["http://zotero.org/users/local/NlDyja2i/items/EII9IKQH"],"itemData":{"id":27,"type":"article-journal","container-title":"2021","language":"en","source":"Zotero","title":"ANSI/ASHRAE Standard 55-2020. Thermal environmental conditions for human occupancy","author":[{"family":"","given":"A.S.H.R.A.E."}]}}],"schema":"https://github.com/citation-style-language/schema/raw/master/csl-citation.json"} </w:instrText>
      </w:r>
      <w:r>
        <w:fldChar w:fldCharType="separate"/>
      </w:r>
      <w:r w:rsidRPr="00405E3A">
        <w:rPr>
          <w:rFonts w:ascii="Aptos" w:hAnsi="Aptos" w:cs="Times New Roman"/>
          <w:kern w:val="0"/>
        </w:rPr>
        <w:t xml:space="preserve">A.S.H.R.A.E., ‘ANSI/ASHRAE Standard 55-2020. Thermal Environmental Conditions for Human Occupancy’, </w:t>
      </w:r>
      <w:r w:rsidRPr="00405E3A">
        <w:rPr>
          <w:rFonts w:ascii="Aptos" w:hAnsi="Aptos" w:cs="Times New Roman"/>
          <w:i/>
          <w:iCs/>
          <w:kern w:val="0"/>
        </w:rPr>
        <w:t>2021</w:t>
      </w:r>
      <w:r w:rsidRPr="00405E3A">
        <w:rPr>
          <w:rFonts w:ascii="Aptos" w:hAnsi="Aptos" w:cs="Times New Roman"/>
          <w:kern w:val="0"/>
        </w:rPr>
        <w:t>.</w:t>
      </w:r>
      <w:r>
        <w:fldChar w:fldCharType="end"/>
      </w:r>
    </w:p>
  </w:endnote>
  <w:endnote w:id="4">
    <w:p w14:paraId="589CA310" w14:textId="324D92EF" w:rsidR="00405E3A" w:rsidRDefault="00405E3A">
      <w:pPr>
        <w:pStyle w:val="EndnoteText"/>
      </w:pPr>
      <w:r>
        <w:rPr>
          <w:rStyle w:val="EndnoteReference"/>
        </w:rPr>
        <w:endnoteRef/>
      </w:r>
      <w:r>
        <w:t xml:space="preserve"> </w:t>
      </w:r>
      <w:r>
        <w:fldChar w:fldCharType="begin"/>
      </w:r>
      <w:r w:rsidR="00262F7D">
        <w:instrText xml:space="preserve"> ADDIN ZOTERO_ITEM CSL_CITATION {"citationID":"YxHax0QF","properties":{"formattedCitation":"E.W. Shaw, \\uc0\\u8216{}Thermal Comfort: Analysis and Applications in Environmental Engineering, by P. O. Fanger. 244 Pp. DANISH TECHNICAL PRESS. Copenhagen, Denmark, 1970. Danish Kr. 76, 50\\uc0\\u8217{}, {\\i{}Royal Society of Health Journal}, 92.3 (1972), pp. 164\\uc0\\u8211{}164, doi:10.1177/146642407209200337.","plainCitation":"E.W. Shaw, ‘Thermal Comfort: Analysis and Applications in Environmental Engineering, by P. O. Fanger. 244 Pp. DANISH TECHNICAL PRESS. Copenhagen, Denmark, 1970. Danish Kr. 76, 50’, Royal Society of Health Journal, 92.3 (1972), pp. 164–164, doi:10.1177/146642407209200337.","noteIndex":4},"citationItems":[{"id":32,"uris":["http://zotero.org/users/local/NlDyja2i/items/L7KG8H26"],"itemData":{"id":32,"type":"article-journal","container-title":"Royal Society of Health Journal","DOI":"10.1177/146642407209200337","ISSN":"0035-9130","issue":"3","language":"EN","note":"publisher: SAGE Publications","page":"164-164","source":"SAGE Journals","title":"Thermal Comfort: analysis and applications in environmental engineering, by P. O. Fanger. 244 pp. DANISH TECHNICAL PRESS. Copenhagen, Denmark, 1970. Danish Kr. 76, 50","title-short":"Thermal Comfort","volume":"92","author":[{"family":"Shaw","given":"E.W."}],"issued":{"date-parts":[["1972",6,1]]}}}],"schema":"https://github.com/citation-style-language/schema/raw/master/csl-citation.json"} </w:instrText>
      </w:r>
      <w:r>
        <w:fldChar w:fldCharType="separate"/>
      </w:r>
      <w:r w:rsidRPr="00405E3A">
        <w:rPr>
          <w:rFonts w:ascii="Aptos" w:hAnsi="Aptos" w:cs="Times New Roman"/>
          <w:kern w:val="0"/>
        </w:rPr>
        <w:t xml:space="preserve">E.W. Shaw, ‘Thermal Comfort: Analysis and Applications in Environmental Engineering, by P. O. Fanger. 244 Pp. DANISH TECHNICAL PRESS. Copenhagen, Denmark, 1970. Danish Kr. 76, 50’, </w:t>
      </w:r>
      <w:r w:rsidRPr="00405E3A">
        <w:rPr>
          <w:rFonts w:ascii="Aptos" w:hAnsi="Aptos" w:cs="Times New Roman"/>
          <w:i/>
          <w:iCs/>
          <w:kern w:val="0"/>
        </w:rPr>
        <w:t>Royal Society of Health Journal</w:t>
      </w:r>
      <w:r w:rsidRPr="00405E3A">
        <w:rPr>
          <w:rFonts w:ascii="Aptos" w:hAnsi="Aptos" w:cs="Times New Roman"/>
          <w:kern w:val="0"/>
        </w:rPr>
        <w:t>, 92.3 (1972), pp. 164–164, doi:10.1177/146642407209200337.</w:t>
      </w:r>
      <w:r>
        <w:fldChar w:fldCharType="end"/>
      </w:r>
    </w:p>
  </w:endnote>
  <w:endnote w:id="5">
    <w:p w14:paraId="35360B06" w14:textId="5DF6D1B4" w:rsidR="00C62C45" w:rsidRDefault="00C62C45">
      <w:pPr>
        <w:pStyle w:val="EndnoteText"/>
      </w:pPr>
      <w:r>
        <w:rPr>
          <w:rStyle w:val="EndnoteReference"/>
        </w:rPr>
        <w:endnoteRef/>
      </w:r>
      <w:r>
        <w:t xml:space="preserve"> </w:t>
      </w:r>
      <w:r>
        <w:fldChar w:fldCharType="begin"/>
      </w:r>
      <w:r>
        <w:instrText xml:space="preserve"> ADDIN ZOTERO_ITEM CSL_CITATION {"citationID":"8jxplVEx","properties":{"formattedCitation":"\\uc0\\u8216{}ANSI/ASHRAE Standard 55-2020. Thermal Environmental Conditions for Human Occupancy\\uc0\\u8217{}.","plainCitation":"‘ANSI/ASHRAE Standard 55-2020. Thermal Environmental Conditions for Human Occupancy’.","noteIndex":5},"citationItems":[{"id":27,"uris":["http://zotero.org/users/local/NlDyja2i/items/EII9IKQH"],"itemData":{"id":27,"type":"article-journal","container-title":"2021","language":"en","source":"Zotero","title":"ANSI/ASHRAE Standard 55-2020. Thermal environmental conditions for human occupancy","author":[{"family":"","given":"A.S.H.R.A.E."}]}}],"schema":"https://github.com/citation-style-language/schema/raw/master/csl-citation.json"} </w:instrText>
      </w:r>
      <w:r>
        <w:fldChar w:fldCharType="separate"/>
      </w:r>
      <w:r w:rsidRPr="00C62C45">
        <w:rPr>
          <w:rFonts w:ascii="Aptos" w:hAnsi="Aptos" w:cs="Times New Roman"/>
          <w:kern w:val="0"/>
        </w:rPr>
        <w:t>‘ANSI/ASHRAE Standard 55-2020. Thermal Environmental Conditions for Human Occupancy’.</w:t>
      </w:r>
      <w:r>
        <w:fldChar w:fldCharType="end"/>
      </w:r>
    </w:p>
  </w:endnote>
  <w:endnote w:id="6">
    <w:p w14:paraId="20C50D46" w14:textId="08937FEF" w:rsidR="008B6BCA" w:rsidRDefault="008B6BCA">
      <w:pPr>
        <w:pStyle w:val="EndnoteText"/>
      </w:pPr>
      <w:r>
        <w:rPr>
          <w:rStyle w:val="EndnoteReference"/>
        </w:rPr>
        <w:endnoteRef/>
      </w:r>
      <w:r>
        <w:t xml:space="preserve"> </w:t>
      </w:r>
      <w:r>
        <w:fldChar w:fldCharType="begin"/>
      </w:r>
      <w:r>
        <w:instrText xml:space="preserve"> ADDIN ZOTERO_ITEM CSL_CITATION {"citationID":"5JKR5Mo0","properties":{"formattedCitation":"Fergus Nicol, Michael Humphreys, and Susan Roaf, {\\i{}Adaptive Thermal Comfort: Principles and Practice} (Routledge, 2012), doi:10.4324/9780203123010.","plainCitation":"Fergus Nicol, Michael Humphreys, and Susan Roaf, Adaptive Thermal Comfort: Principles and Practice (Routledge, 2012), doi:10.4324/9780203123010.","noteIndex":6},"citationItems":[{"id":87,"uris":["http://zotero.org/users/local/NlDyja2i/items/67FPBJZT"],"itemData":{"id":87,"type":"book","abstract":"The fundamental function of buildings is to provide safe and healthy shelter. For the fortunate they also provide comfort and delight. In the twentieth century comfort became a 'product' produced by machines and run on cheap energy. In a world where fossil fuels are becoming ever scarcer and more expensive, and the climate more extreme, the challenge of designing comfortable buildings today requires a new approach. \n\nThis timely book is the first in a trilogy from leaders in the field which will provide just that. It explains, in a clear and comprehensible manner, how we stay comfortable by using our bodies, minds, buildings and their systems to adapt to indoor and outdoor conditions which change with the weather and the climate. The book is in two sections. The first introduces the principles on which the theory of adaptive thermal comfort is based. The second explains how to use field studies to measure thermal comfort in practice and to analyze the data gathered.\nArchitects have gradually passed responsibility for building performance to service engineers who are largely trained to see comfort as the ‘product’, designed using simplistic comfort models. The result has contributed to a shift to buildings that use ever more energy. A growing international consensus now calls for low-energy buildings. This means designers must first produce robust, passive structures that provide occupants with many opportunities to make changes to suit their environmental needs. Ventilation using free, natural energy should be preferred and mechanical conditioning only used when the climate demands it.\nThis book outlines the theory of adaptive thermal comfort that is essential to understand and inform such building designs. This book should be required reading for all students, teachers and practitioners of architecture, building engineering and management – for all who have a role in producing, and occupying, twenty-first century adaptive, low-carbon, comfortable buildings.","event-place":"London","ISBN":"978-0-203-12301-0","note":"DOI: 10.4324/9780203123010","number-of-pages":"208","publisher":"Routledge","publisher-place":"London","title":"Adaptive Thermal Comfort: Principles and Practice","title-short":"Adaptive Thermal Comfort","author":[{"family":"Nicol","given":"Fergus"},{"family":"Humphreys","given":"Michael"},{"family":"Roaf","given":"Susan"}],"issued":{"date-parts":[["2012",3,15]]}}}],"schema":"https://github.com/citation-style-language/schema/raw/master/csl-citation.json"} </w:instrText>
      </w:r>
      <w:r>
        <w:fldChar w:fldCharType="separate"/>
      </w:r>
      <w:r w:rsidRPr="008B6BCA">
        <w:rPr>
          <w:rFonts w:ascii="Aptos" w:hAnsi="Aptos" w:cs="Times New Roman"/>
          <w:kern w:val="0"/>
        </w:rPr>
        <w:t xml:space="preserve">Fergus Nicol, Michael Humphreys, and Susan Roaf, </w:t>
      </w:r>
      <w:r w:rsidRPr="008B6BCA">
        <w:rPr>
          <w:rFonts w:ascii="Aptos" w:hAnsi="Aptos" w:cs="Times New Roman"/>
          <w:i/>
          <w:iCs/>
          <w:kern w:val="0"/>
        </w:rPr>
        <w:t>Adaptive Thermal Comfort: Principles and Practice</w:t>
      </w:r>
      <w:r w:rsidRPr="008B6BCA">
        <w:rPr>
          <w:rFonts w:ascii="Aptos" w:hAnsi="Aptos" w:cs="Times New Roman"/>
          <w:kern w:val="0"/>
        </w:rPr>
        <w:t xml:space="preserve"> (Routledge, 2012), doi:10.4324/9780203123010.</w:t>
      </w:r>
      <w:r>
        <w:fldChar w:fldCharType="end"/>
      </w:r>
    </w:p>
  </w:endnote>
  <w:endnote w:id="7">
    <w:p w14:paraId="0834E166" w14:textId="019E2E45" w:rsidR="004F3D63" w:rsidRDefault="004F3D63">
      <w:pPr>
        <w:pStyle w:val="EndnoteText"/>
      </w:pPr>
      <w:r>
        <w:rPr>
          <w:rStyle w:val="EndnoteReference"/>
        </w:rPr>
        <w:endnoteRef/>
      </w:r>
      <w:r>
        <w:t xml:space="preserve"> </w:t>
      </w:r>
      <w:r>
        <w:fldChar w:fldCharType="begin"/>
      </w:r>
      <w:r w:rsidR="00262F7D">
        <w:instrText xml:space="preserve"> ADDIN ZOTERO_ITEM CSL_CITATION {"citationID":"QbPBze7a","properties":{"formattedCitation":"Marc Fountain, Gail Brager, and Richard de Dear, \\uc0\\u8216{}Expectations of Indoor Climate Control\\uc0\\u8217{}, {\\i{}Energy and Buildings}, 24.3 (1996), pp. 179\\uc0\\u8211{}82, doi:10.1016/S0378-7788(96)00988-7.","plainCitation":"Marc Fountain, Gail Brager, and Richard de Dear, ‘Expectations of Indoor Climate Control’, Energy and Buildings, 24.3 (1996), pp. 179–82, doi:10.1016/S0378-7788(96)00988-7.","noteIndex":5},"citationItems":[{"id":33,"uris":["http://zotero.org/users/local/NlDyja2i/items/6JQY9WMB"],"itemData":{"id":33,"type":"article-journal","abstract":"This paper discusses reassessment of indoor climate control in the context of current thermal comfort practice and research. We review the limitations of comfort models and standards with several examples. We examine how people's thermal sensation and preference may be influenced by culture and climate and associated issues of thermal expectations and adaptation. Finally, we discuss how incorporating these factors into future comfort standards might yield more ‘effective’ indoor climate control.","container-title":"Energy and Buildings","DOI":"10.1016/S0378-7788(96)00988-7","ISSN":"0378-7788","issue":"3","journalAbbreviation":"Energy and Buildings","page":"179-182","source":"ScienceDirect","title":"Expectations of indoor climate control","volume":"24","author":[{"family":"Fountain","given":"Marc"},{"family":"Brager","given":"Gail"},{"family":"Dear","given":"Richard","non-dropping-particle":"de"}],"issued":{"date-parts":[["1996",10,1]]}}}],"schema":"https://github.com/citation-style-language/schema/raw/master/csl-citation.json"} </w:instrText>
      </w:r>
      <w:r>
        <w:fldChar w:fldCharType="separate"/>
      </w:r>
      <w:r w:rsidRPr="004F3D63">
        <w:rPr>
          <w:rFonts w:ascii="Aptos" w:hAnsi="Aptos" w:cs="Times New Roman"/>
          <w:kern w:val="0"/>
        </w:rPr>
        <w:t xml:space="preserve">Marc Fountain, Gail Brager, and Richard de Dear, ‘Expectations of Indoor Climate Control’, </w:t>
      </w:r>
      <w:r w:rsidRPr="004F3D63">
        <w:rPr>
          <w:rFonts w:ascii="Aptos" w:hAnsi="Aptos" w:cs="Times New Roman"/>
          <w:i/>
          <w:iCs/>
          <w:kern w:val="0"/>
        </w:rPr>
        <w:t>Energy and Buildings</w:t>
      </w:r>
      <w:r w:rsidRPr="004F3D63">
        <w:rPr>
          <w:rFonts w:ascii="Aptos" w:hAnsi="Aptos" w:cs="Times New Roman"/>
          <w:kern w:val="0"/>
        </w:rPr>
        <w:t>, 24.3 (1996), pp. 179–82, doi:10.1016/S0378-7788(96)00988-7.</w:t>
      </w:r>
      <w:r>
        <w:fldChar w:fldCharType="end"/>
      </w:r>
    </w:p>
    <w:p w14:paraId="312D4136" w14:textId="0056725E" w:rsidR="004F3D63" w:rsidRDefault="004F3D63">
      <w:pPr>
        <w:pStyle w:val="EndnoteText"/>
      </w:pPr>
    </w:p>
  </w:endnote>
  <w:endnote w:id="8">
    <w:p w14:paraId="21CA7222" w14:textId="6AAECB2D" w:rsidR="004F3D63" w:rsidRDefault="004F3D63">
      <w:pPr>
        <w:pStyle w:val="EndnoteText"/>
      </w:pPr>
      <w:r>
        <w:rPr>
          <w:rStyle w:val="EndnoteReference"/>
        </w:rPr>
        <w:endnoteRef/>
      </w:r>
      <w:r>
        <w:t xml:space="preserve"> </w:t>
      </w:r>
      <w:r>
        <w:fldChar w:fldCharType="begin"/>
      </w:r>
      <w:r w:rsidR="00262F7D">
        <w:instrText xml:space="preserve"> ADDIN ZOTERO_ITEM CSL_CITATION {"citationID":"yg2p30cR","properties":{"formattedCitation":"J. F. Nicol and M. A. and Humphreys, \\uc0\\u8216{}Thermal Comfort as Part of a Self-Regulating System\\uc0\\u8217{}, {\\i{}Building Research and Practice}, 1.3 (1973), pp. 174\\uc0\\u8211{}79, doi:10.1080/09613217308550237.","plainCitation":"J. F. Nicol and M. A. and Humphreys, ‘Thermal Comfort as Part of a Self-Regulating System’, Building Research and Practice, 1.3 (1973), pp. 174–79, doi:10.1080/09613217308550237.","noteIndex":6},"citationItems":[{"id":40,"uris":["http://zotero.org/users/local/NlDyja2i/items/EEYH34FX"],"itemData":{"id":40,"type":"article-journal","container-title":"Building Research and Practice","DOI":"10.1080/09613217308550237","ISSN":"0306-9931","issue":"3","note":"publisher: Routledge","page":"174-179","source":"tandfonline.com (Atypon)","title":"Thermal comfort as part of a self-regulating system","volume":"1","author":[{"family":"Nicol","given":"J. F."},{"family":"Humphreys","given":"M. A.","non-dropping-particle":"and"}],"issued":{"date-parts":[["1973",1]]}}}],"schema":"https://github.com/citation-style-language/schema/raw/master/csl-citation.json"} </w:instrText>
      </w:r>
      <w:r>
        <w:fldChar w:fldCharType="separate"/>
      </w:r>
      <w:r w:rsidRPr="004F3D63">
        <w:rPr>
          <w:rFonts w:ascii="Aptos" w:hAnsi="Aptos" w:cs="Times New Roman"/>
          <w:kern w:val="0"/>
        </w:rPr>
        <w:t xml:space="preserve">J. F. Nicol and M. A. and Humphreys, ‘Thermal Comfort as Part of a Self-Regulating System’, </w:t>
      </w:r>
      <w:r w:rsidRPr="004F3D63">
        <w:rPr>
          <w:rFonts w:ascii="Aptos" w:hAnsi="Aptos" w:cs="Times New Roman"/>
          <w:i/>
          <w:iCs/>
          <w:kern w:val="0"/>
        </w:rPr>
        <w:t>Building Research and Practice</w:t>
      </w:r>
      <w:r w:rsidRPr="004F3D63">
        <w:rPr>
          <w:rFonts w:ascii="Aptos" w:hAnsi="Aptos" w:cs="Times New Roman"/>
          <w:kern w:val="0"/>
        </w:rPr>
        <w:t>, 1.3 (1973), pp. 174–79, doi:10.1080/09613217308550237.</w:t>
      </w:r>
      <w:r>
        <w:fldChar w:fldCharType="end"/>
      </w:r>
    </w:p>
  </w:endnote>
  <w:endnote w:id="9">
    <w:p w14:paraId="4463EB86" w14:textId="4B268774" w:rsidR="000C2A7B" w:rsidRDefault="000C2A7B">
      <w:pPr>
        <w:pStyle w:val="EndnoteText"/>
      </w:pPr>
      <w:r>
        <w:rPr>
          <w:rStyle w:val="EndnoteReference"/>
        </w:rPr>
        <w:endnoteRef/>
      </w:r>
      <w:r>
        <w:t xml:space="preserve"> </w:t>
      </w:r>
      <w:r>
        <w:fldChar w:fldCharType="begin"/>
      </w:r>
      <w:r w:rsidR="00262F7D">
        <w:instrText xml:space="preserve"> ADDIN ZOTERO_ITEM CSL_CITATION {"citationID":"fJTADbt0","properties":{"formattedCitation":"Rabee Reffat and Edward Harkness, \\uc0\\u8216{}Expert System for Environmental Quality Evaluation\\uc0\\u8217{}, {\\i{}Journal of Performance of Constructed Facilities - J PERFORM CONSTR FACIL}, 15 (2001), doi:10.1061/(ASCE)0887-3828(2001)15:3(109).","plainCitation":"Rabee Reffat and Edward Harkness, ‘Expert System for Environmental Quality Evaluation’, Journal of Performance of Constructed Facilities - J PERFORM CONSTR FACIL, 15 (2001), doi:10.1061/(ASCE)0887-3828(2001)15:3(109).","noteIndex":7},"citationItems":[{"id":43,"uris":["http://zotero.org/users/local/NlDyja2i/items/3FE97HXP"],"itemData":{"id":43,"type":"article-journal","abstract":"This paper presents the development of an expert system to evaluate the effects on environmental quality of proposed modifications to an office building following a postoccupancy evaluation. The model pre- sented in this paper has been designated Expert System for Environmental Quality Evaluation (ESEQE). The ESEQE model consists of 200 rules covering 65 performance criteria of environmental quality. These perfor- mance criteria cover lighting comfort, acoustic comfort, thermal comfort, and indoor air quality. The performance criteria and the method of evaluation were extracted from a series of interviews with experts in the field of environmental quality in the built environment. The structure and development cycles of the ESEQE model are described. A demonstration of using ESEQE to evaluate the environmental quality in office buildings is presented. The potential benefits of using ESEQE during the design stages are also discussed.","container-title":"Journal of Performance of Constructed Facilities - J PERFORM CONSTR FACIL","DOI":"10.1061/(ASCE)0887-3828(2001)15:3(109)","journalAbbreviation":"Journal of Performance of Constructed Facilities - J PERFORM CONSTR FACIL","source":"ResearchGate","title":"Expert System for Environmental Quality Evaluation","volume":"15","author":[{"family":"Reffat","given":"Rabee"},{"family":"Harkness","given":"Edward"}],"issued":{"date-parts":[["2001",8,1]]}}}],"schema":"https://github.com/citation-style-language/schema/raw/master/csl-citation.json"} </w:instrText>
      </w:r>
      <w:r>
        <w:fldChar w:fldCharType="separate"/>
      </w:r>
      <w:r w:rsidRPr="000C2A7B">
        <w:rPr>
          <w:rFonts w:ascii="Aptos" w:hAnsi="Aptos" w:cs="Times New Roman"/>
          <w:kern w:val="0"/>
        </w:rPr>
        <w:t xml:space="preserve">Rabee </w:t>
      </w:r>
      <w:proofErr w:type="spellStart"/>
      <w:r w:rsidRPr="000C2A7B">
        <w:rPr>
          <w:rFonts w:ascii="Aptos" w:hAnsi="Aptos" w:cs="Times New Roman"/>
          <w:kern w:val="0"/>
        </w:rPr>
        <w:t>Reffat</w:t>
      </w:r>
      <w:proofErr w:type="spellEnd"/>
      <w:r w:rsidRPr="000C2A7B">
        <w:rPr>
          <w:rFonts w:ascii="Aptos" w:hAnsi="Aptos" w:cs="Times New Roman"/>
          <w:kern w:val="0"/>
        </w:rPr>
        <w:t xml:space="preserve"> and Edward Harkness, ‘Expert System for Environmental Quality Evaluation’, </w:t>
      </w:r>
      <w:r w:rsidRPr="000C2A7B">
        <w:rPr>
          <w:rFonts w:ascii="Aptos" w:hAnsi="Aptos" w:cs="Times New Roman"/>
          <w:i/>
          <w:iCs/>
          <w:kern w:val="0"/>
        </w:rPr>
        <w:t>Journal of Performance of Constructed Facilities - J PERFORM CONSTR FACIL</w:t>
      </w:r>
      <w:r w:rsidRPr="000C2A7B">
        <w:rPr>
          <w:rFonts w:ascii="Aptos" w:hAnsi="Aptos" w:cs="Times New Roman"/>
          <w:kern w:val="0"/>
        </w:rPr>
        <w:t>, 15 (2001), doi:10.1061/(ASCE)0887-3828(2001)15:3(109).</w:t>
      </w:r>
      <w:r>
        <w:fldChar w:fldCharType="end"/>
      </w:r>
    </w:p>
  </w:endnote>
  <w:endnote w:id="10">
    <w:p w14:paraId="0C86EA1B" w14:textId="44132F51" w:rsidR="000C2A7B" w:rsidRDefault="000C2A7B">
      <w:pPr>
        <w:pStyle w:val="EndnoteText"/>
      </w:pPr>
      <w:r>
        <w:rPr>
          <w:rStyle w:val="EndnoteReference"/>
        </w:rPr>
        <w:endnoteRef/>
      </w:r>
      <w:r>
        <w:t xml:space="preserve"> </w:t>
      </w:r>
      <w:r>
        <w:fldChar w:fldCharType="begin"/>
      </w:r>
      <w:r w:rsidR="00262F7D">
        <w:instrText xml:space="preserve"> ADDIN ZOTERO_ITEM CSL_CITATION {"citationID":"vHZffIZK","properties":{"formattedCitation":"Che-Ming Chiang and Chi-Ming Lai, \\uc0\\u8216{}A Study on the Comprehensive Indicator of Indoor Environment Assessment for Occupants\\uc0\\u8217{} Health in Taiwan\\uc0\\u8217{}, {\\i{}Building and Environment}, 37.4 (2002), pp. 387\\uc0\\u8211{}92, doi:10.1016/S0360-1323(01)00034-8.","plainCitation":"Che-Ming Chiang and Chi-Ming Lai, ‘A Study on the Comprehensive Indicator of Indoor Environment Assessment for Occupants’ Health in Taiwan’, Building and Environment, 37.4 (2002), pp. 387–92, doi:10.1016/S0360-1323(01)00034-8.","noteIndex":8},"citationItems":[{"id":46,"uris":["http://zotero.org/users/local/NlDyja2i/items/I7B7SXFD"],"itemData":{"id":46,"type":"article-journal","abstract":"This paper presents the methodology of developing the comprehensive indicator for indoor-environment assessment. It intends to provide the occupants with the measures of indoor-environment quality. These indicators were drawn up by literature review based on the practicability, economic and feasible aspects. The categories we considered included acoustics, vibrations, illumination, thermal comfort, indoor air quality, water quality, greens and electromagnetic fields. The purpose is to derive the essential indicators through expertise consultation for quantitative assessment on existing buildings. The analytic hierarchy process (AHP) method was used to carry out the weighting among the categories and these indicators in the same category respectively. The consistency ratio was also calculated to filter out the null questionnaire. Finally, a comprehensive index, indoor environment index (IEI(AHP)), composed of the filtered indicators, is proposed to assess the indoor-environment in the built buildings.","container-title":"Building and Environment","DOI":"10.1016/S0360-1323(01)00034-8","ISSN":"0360-1323","issue":"4","journalAbbreviation":"Building and Environment","page":"387-392","source":"ScienceDirect","title":"A study on the comprehensive indicator of indoor environment assessment for occupants’ health in Taiwan","volume":"37","author":[{"family":"Chiang","given":"Che-Ming"},{"family":"Lai","given":"Chi-Ming"}],"issued":{"date-parts":[["2002",4,1]]}}}],"schema":"https://github.com/citation-style-language/schema/raw/master/csl-citation.json"} </w:instrText>
      </w:r>
      <w:r>
        <w:fldChar w:fldCharType="separate"/>
      </w:r>
      <w:r w:rsidRPr="000C2A7B">
        <w:rPr>
          <w:rFonts w:ascii="Aptos" w:hAnsi="Aptos" w:cs="Times New Roman"/>
          <w:kern w:val="0"/>
        </w:rPr>
        <w:t xml:space="preserve">Che-Ming Chiang and Chi-Ming Lai, ‘A Study on the Comprehensive Indicator of Indoor Environment Assessment for Occupants’ Health in Taiwan’, </w:t>
      </w:r>
      <w:r w:rsidRPr="000C2A7B">
        <w:rPr>
          <w:rFonts w:ascii="Aptos" w:hAnsi="Aptos" w:cs="Times New Roman"/>
          <w:i/>
          <w:iCs/>
          <w:kern w:val="0"/>
        </w:rPr>
        <w:t>Building and Environment</w:t>
      </w:r>
      <w:r w:rsidRPr="000C2A7B">
        <w:rPr>
          <w:rFonts w:ascii="Aptos" w:hAnsi="Aptos" w:cs="Times New Roman"/>
          <w:kern w:val="0"/>
        </w:rPr>
        <w:t>, 37.4 (2002), pp. 387–92, doi:10.1016/S0360-1323(01)00034-8.</w:t>
      </w:r>
      <w:r>
        <w:fldChar w:fldCharType="end"/>
      </w:r>
    </w:p>
  </w:endnote>
  <w:endnote w:id="11">
    <w:p w14:paraId="41A6ABDC" w14:textId="452DE1BF" w:rsidR="000C2A7B" w:rsidRDefault="000C2A7B">
      <w:pPr>
        <w:pStyle w:val="EndnoteText"/>
      </w:pPr>
      <w:r>
        <w:rPr>
          <w:rStyle w:val="EndnoteReference"/>
        </w:rPr>
        <w:endnoteRef/>
      </w:r>
      <w:r>
        <w:t xml:space="preserve"> </w:t>
      </w:r>
      <w:r>
        <w:fldChar w:fldCharType="begin"/>
      </w:r>
      <w:r w:rsidR="00262F7D">
        <w:instrText xml:space="preserve"> ADDIN ZOTERO_ITEM CSL_CITATION {"citationID":"cmav7pnd","properties":{"formattedCitation":"Demetrios Moschandreas and Sait Sofuoglu, \\uc0\\u8216{}The Indoor Environmental Index and Its Relationship with Symptoms of Office Building Occupants\\uc0\\u8217{}, {\\i{}Journal of the Air &amp; Waste Management Association (1995)}, 54 (2004), pp. 1440\\uc0\\u8211{}51, doi:10.1080/10473289.2004.10470999.","plainCitation":"Demetrios Moschandreas and Sait Sofuoglu, ‘The Indoor Environmental Index and Its Relationship with Symptoms of Office Building Occupants’, Journal of the Air &amp; Waste Management Association (1995), 54 (2004), pp. 1440–51, doi:10.1080/10473289.2004.10470999.","noteIndex":9},"citationItems":[{"id":48,"uris":["http://zotero.org/users/local/NlDyja2i/items/BVZ98UU7"],"itemData":{"id":48,"type":"article-journal","abstract":"An index for indoor environmental quality, the Indoor Environmental Index (IEI), was developed. This study aggregates the Indoor Air Pollution Index, an index found in the literature, and a new index: the Indoor Discomfort Index. The average of these two indices is the IEI, which is calculated using concentrations of eight pollutants and two comfort variables measured in 100 office buildings in the United States. The database used was developed for the U.S. Environmental Protection Agency Building Assessment Survey Evaluation study. A symptom index also is developed to denote persistent occupant symptoms. The IEI and the symptom index are used to investigate the relationship between indoor environmental quality and symptoms. Two simple linear regression models were formulated; these models explain 67 and 79% of the variation in the average symptom index, with the variation of the average IEI depending on the method of averaging used in the construction of the models. In addition, a conceptual explanation is provided for the empirical or regression models formulated. The IEI and the associated models relating indoor environmental quality with the office occupant symptom index may be used as management tools, as illustrated with an example.","container-title":"Journal of the Air &amp; Waste Management Association (1995)","DOI":"10.1080/10473289.2004.10470999","journalAbbreviation":"Journal of the Air &amp; Waste Management Association (1995)","page":"1440-51","source":"ResearchGate","title":"The Indoor Environmental Index and Its Relationship with Symptoms of Office Building Occupants","volume":"54","author":[{"family":"Moschandreas","given":"Demetrios"},{"family":"Sofuoglu","given":"Sait"}],"issued":{"date-parts":[["2004",12,1]]}}}],"schema":"https://github.com/citation-style-language/schema/raw/master/csl-citation.json"} </w:instrText>
      </w:r>
      <w:r>
        <w:fldChar w:fldCharType="separate"/>
      </w:r>
      <w:r w:rsidRPr="000C2A7B">
        <w:rPr>
          <w:rFonts w:ascii="Aptos" w:hAnsi="Aptos" w:cs="Times New Roman"/>
          <w:kern w:val="0"/>
        </w:rPr>
        <w:t xml:space="preserve">Demetrios </w:t>
      </w:r>
      <w:proofErr w:type="spellStart"/>
      <w:r w:rsidRPr="000C2A7B">
        <w:rPr>
          <w:rFonts w:ascii="Aptos" w:hAnsi="Aptos" w:cs="Times New Roman"/>
          <w:kern w:val="0"/>
        </w:rPr>
        <w:t>Moschandreas</w:t>
      </w:r>
      <w:proofErr w:type="spellEnd"/>
      <w:r w:rsidRPr="000C2A7B">
        <w:rPr>
          <w:rFonts w:ascii="Aptos" w:hAnsi="Aptos" w:cs="Times New Roman"/>
          <w:kern w:val="0"/>
        </w:rPr>
        <w:t xml:space="preserve"> and Sait Sofuoglu, ‘The Indoor Environmental Index and Its Relationship with Symptoms of Office Building Occupants’, </w:t>
      </w:r>
      <w:r w:rsidRPr="000C2A7B">
        <w:rPr>
          <w:rFonts w:ascii="Aptos" w:hAnsi="Aptos" w:cs="Times New Roman"/>
          <w:i/>
          <w:iCs/>
          <w:kern w:val="0"/>
        </w:rPr>
        <w:t>Journal of the Air &amp; Waste Management Association (1995)</w:t>
      </w:r>
      <w:r w:rsidRPr="000C2A7B">
        <w:rPr>
          <w:rFonts w:ascii="Aptos" w:hAnsi="Aptos" w:cs="Times New Roman"/>
          <w:kern w:val="0"/>
        </w:rPr>
        <w:t>, 54 (2004), pp. 1440–51, doi:10.1080/10473289.2004.10470999.</w:t>
      </w:r>
      <w:r>
        <w:fldChar w:fldCharType="end"/>
      </w:r>
    </w:p>
  </w:endnote>
  <w:endnote w:id="12">
    <w:p w14:paraId="2CB310D1" w14:textId="2810CD89" w:rsidR="000C2A7B" w:rsidRDefault="000C2A7B">
      <w:pPr>
        <w:pStyle w:val="EndnoteText"/>
      </w:pPr>
      <w:r>
        <w:rPr>
          <w:rStyle w:val="EndnoteReference"/>
        </w:rPr>
        <w:endnoteRef/>
      </w:r>
      <w:r>
        <w:t xml:space="preserve"> </w:t>
      </w:r>
      <w:r>
        <w:fldChar w:fldCharType="begin"/>
      </w:r>
      <w:r w:rsidR="00262F7D">
        <w:instrText xml:space="preserve"> ADDIN ZOTERO_ITEM CSL_CITATION {"citationID":"wye4V6tm","properties":{"formattedCitation":"Michael Humphreys, \\uc0\\u8216{}Quantifying Occupant Comfort: Are Combined Indices of the Indoor Environment Practicable?\\uc0\\u8217{}, {\\i{}Building Research and Information - BUILDING RES INFORM}, 33 (2005), pp. 317\\uc0\\u8211{}25, doi:10.1080/09613210500161950.","plainCitation":"Michael Humphreys, ‘Quantifying Occupant Comfort: Are Combined Indices of the Indoor Environment Practicable?’, Building Research and Information - BUILDING RES INFORM, 33 (2005), pp. 317–25, doi:10.1080/09613210500161950.","noteIndex":10},"citationItems":[{"id":51,"uris":["http://zotero.org/users/local/NlDyja2i/items/K64H8HQ8"],"itemData":{"id":51,"type":"article-journal","abstract":"What are the various ways in which evaluation of the several aspects of the indoor environment might combine to form an occupant's overall assessment of that environment? Data from an environmental survey of 26 offices in Europe (the Smart Controls and Thermal Comfort, or SCATs, project) are used. These show that dissatisfaction with one or more aspects of the indoor environment does not necessarily produce dissatisfaction with the environment overall. Conversely, satisfaction with one or more environmental aspect does not necessarily produce satisfaction with the total environment. Building occupants balance the good features against the bad to reach their overall assessment. Not all aspects are equally important in this subjective averaging process. Satisfaction with warmth and air quality is more important than satisfaction with the level of lighting or humidity. The relative importance of the various aspects differed from country to country, making it impossible to develop an internationally valid index to rate office environments by means of a single number. The best linear index constructed from the data failed to rank the indoor environments of the buildings in the correct order, as defined by the occupants' overall assessments. It is therefore wise to assess each of the several aspects separately rather than rely only on a combined index.","container-title":"Building Research and Information - BUILDING RES INFORM","DOI":"10.1080/09613210500161950","journalAbbreviation":"Building Research and Information - BUILDING RES INFORM","page":"317-325","source":"ResearchGate","title":"Quantifying occupant comfort: Are combined indices of the indoor environment practicable?","title-short":"Quantifying occupant comfort","volume":"33","author":[{"family":"Humphreys","given":"Michael"}],"issued":{"date-parts":[["2005",7,1]]}}}],"schema":"https://github.com/citation-style-language/schema/raw/master/csl-citation.json"} </w:instrText>
      </w:r>
      <w:r>
        <w:fldChar w:fldCharType="separate"/>
      </w:r>
      <w:r w:rsidRPr="000C2A7B">
        <w:rPr>
          <w:rFonts w:ascii="Aptos" w:hAnsi="Aptos" w:cs="Times New Roman"/>
          <w:kern w:val="0"/>
        </w:rPr>
        <w:t xml:space="preserve">Michael Humphreys, ‘Quantifying Occupant Comfort: Are Combined Indices of the Indoor Environment Practicable?’, </w:t>
      </w:r>
      <w:r w:rsidRPr="000C2A7B">
        <w:rPr>
          <w:rFonts w:ascii="Aptos" w:hAnsi="Aptos" w:cs="Times New Roman"/>
          <w:i/>
          <w:iCs/>
          <w:kern w:val="0"/>
        </w:rPr>
        <w:t>Building Research and Information - BUILDING RES INFORM</w:t>
      </w:r>
      <w:r w:rsidRPr="000C2A7B">
        <w:rPr>
          <w:rFonts w:ascii="Aptos" w:hAnsi="Aptos" w:cs="Times New Roman"/>
          <w:kern w:val="0"/>
        </w:rPr>
        <w:t>, 33 (2005), pp. 317–25, doi:10.1080/09613210500161950.</w:t>
      </w:r>
      <w:r>
        <w:fldChar w:fldCharType="end"/>
      </w:r>
    </w:p>
  </w:endnote>
  <w:endnote w:id="13">
    <w:p w14:paraId="13660615" w14:textId="177076D8" w:rsidR="006A5F00" w:rsidRDefault="006A5F00">
      <w:pPr>
        <w:pStyle w:val="EndnoteText"/>
      </w:pPr>
      <w:r>
        <w:rPr>
          <w:rStyle w:val="EndnoteReference"/>
        </w:rPr>
        <w:endnoteRef/>
      </w:r>
      <w:r>
        <w:t xml:space="preserve"> </w:t>
      </w:r>
      <w:r>
        <w:fldChar w:fldCharType="begin"/>
      </w:r>
      <w:r w:rsidR="00262F7D">
        <w:instrText xml:space="preserve"> ADDIN ZOTERO_ITEM CSL_CITATION {"citationID":"mAeYketz","properties":{"formattedCitation":"Kwok Wai Mui and W. T. Chan, \\uc0\\u8216{}A New Indoor Environmental Quality Equation for Air-Conditioned Buildings\\uc0\\u8217{}, {\\i{}Architectural Science Review}, 48.1 (2005), pp. 41\\uc0\\u8211{}46, doi:10.3763/asre.2005.4806.","plainCitation":"Kwok Wai Mui and W. T. Chan, ‘A New Indoor Environmental Quality Equation for Air-Conditioned Buildings’, Architectural Science Review, 48.1 (2005), pp. 41–46, doi:10.3763/asre.2005.4806.","noteIndex":11},"citationItems":[{"id":53,"uris":["http://zotero.org/users/local/NlDyja2i/items/C2NX6CWW"],"itemData":{"id":53,"type":"article-journal","abstract":"Sustaining indoor environmental quality (IEQ) in high rise centrally air-conditioned buildings remains a difficult task of building managers because of the lack of a suitable instrument to measure the physical parameters of IEQ and to record the simultaneous occupant subjective responses. An IEQ logger is developed to facilitate the continuous monitoring of the state of IEQ. The performance of this logger has been validated by large-scale surveys in air-conditioned buildings in Hong Kong using the appropriate international standards and protocols. The compactness of the logger made it versatile for use in the study of total IEQ. It renders the development of a total IEQ comfort model possible. This composite IEQ index attempts to integrate the total responses of the four fundamental indoor environmental qualifiers, namely, thermal, air quality, visual and aural comfort. The IEQ index expresses the dissatisfaction as can be predicted by measurements of the essential parameters. The concept of an IEQ index opens up a new approach to the design for acceptable indoor IEQ. The IEQ logger facilitates building managers in sustaining their targeted IEQ levels.","container-title":"Architectural Science Review","DOI":"10.3763/asre.2005.4806","ISSN":"0003-8628","issue":"1","page":"41-46","source":"PolyU Scholars Hub","title":"A new indoor environmental quality equation for air-conditioned buildings","volume":"48","author":[{"family":"Mui","given":"Kwok Wai"},{"family":"Chan","given":"W. T."}],"issued":{"date-parts":[["2005",1,1]]}}}],"schema":"https://github.com/citation-style-language/schema/raw/master/csl-citation.json"} </w:instrText>
      </w:r>
      <w:r>
        <w:fldChar w:fldCharType="separate"/>
      </w:r>
      <w:r w:rsidRPr="006A5F00">
        <w:rPr>
          <w:rFonts w:ascii="Aptos" w:hAnsi="Aptos" w:cs="Times New Roman"/>
          <w:kern w:val="0"/>
        </w:rPr>
        <w:t xml:space="preserve">Kwok Wai Mui and W. T. Chan, ‘A New Indoor Environmental Quality Equation for Air-Conditioned Buildings’, </w:t>
      </w:r>
      <w:r w:rsidRPr="006A5F00">
        <w:rPr>
          <w:rFonts w:ascii="Aptos" w:hAnsi="Aptos" w:cs="Times New Roman"/>
          <w:i/>
          <w:iCs/>
          <w:kern w:val="0"/>
        </w:rPr>
        <w:t>Architectural Science Review</w:t>
      </w:r>
      <w:r w:rsidRPr="006A5F00">
        <w:rPr>
          <w:rFonts w:ascii="Aptos" w:hAnsi="Aptos" w:cs="Times New Roman"/>
          <w:kern w:val="0"/>
        </w:rPr>
        <w:t>, 48.1 (2005), pp. 41–46, doi:10.3763/asre.2005.4806.</w:t>
      </w:r>
      <w:r>
        <w:fldChar w:fldCharType="end"/>
      </w:r>
    </w:p>
  </w:endnote>
  <w:endnote w:id="14">
    <w:p w14:paraId="2C501A39" w14:textId="40F8064D" w:rsidR="006A5F00" w:rsidRDefault="006A5F00">
      <w:pPr>
        <w:pStyle w:val="EndnoteText"/>
      </w:pPr>
      <w:r>
        <w:rPr>
          <w:rStyle w:val="EndnoteReference"/>
        </w:rPr>
        <w:endnoteRef/>
      </w:r>
      <w:r>
        <w:t xml:space="preserve"> </w:t>
      </w:r>
      <w:r>
        <w:fldChar w:fldCharType="begin"/>
      </w:r>
      <w:r w:rsidR="00262F7D">
        <w:instrText xml:space="preserve"> ADDIN ZOTERO_ITEM CSL_CITATION {"citationID":"TR3mXfD4","properties":{"formattedCitation":"Shuanghua Cao and others, \\uc0\\u8216{}A Review of Research on Dynamic Thermal Comfort\\uc0\\u8217{}, {\\i{}Building Services Engineering Research &amp; Technology}, 42.4 (2021), pp. 435\\uc0\\u8211{}48, doi:10.1177/01436244211003028.","plainCitation":"Shuanghua Cao and others, ‘A Review of Research on Dynamic Thermal Comfort’, Building Services Engineering Research &amp; Technology, 42.4 (2021), pp. 435–48, doi:10.1177/01436244211003028.","noteIndex":12},"citationItems":[{"id":57,"uris":["http://zotero.org/users/local/NlDyja2i/items/ZH236ZFY"],"itemData":{"id":57,"type":"article-journal","abstract":"Nowadays, people’s requirements for comfort are getting higher and higher, and traditional steady-state thermal comfort environment sometimes cannot meet people’s requirements. Dynamic thermal comfort is considered to meet people's requirements for comfort better than traditional thermal comfort, and it is also conducive to the health of occupants and building energy conservation. Therefore, this article reviews the literature on dynamic thermal comfort. First, this article briefly describes the transition from a steady-state thermal environment to a dynamic thermal environment. Next, this article reviews the research related to dynamic thermal comfort, such as the frequency of airflow fluctuations, simulation of natural wind, thermal prediction models, the use of intelligent detection equipment, and personal environmental control. This article summarizes the related research and development of dynamic thermal comfort from the aspects of dynamic airflow parameters, indoor thermal environment regulation, thermal experience, etc. This article aims to illustrate the necessity of the development of dynamic thermal comfort and its current results. The results show that under the trend of the artificial intelligence era, dynamic thermal comfort still has broad development potential. This article It can provide some research ideas for subsequent thermal comfort research.Practical application: This paper summarizes the research and development of dynamic thermal comfort from dynamic airflow, indoor thermal environment control, thermal experience, etc., and makes appropriate extensions and prospects accordingly. At the same time, the necessity of combining thermal comfort with AI trends is emphasized. This paper can provide references and ideas for thermal research on thermal comfort.","container-title":"Building Services Engineering Research &amp; Technology","DOI":"10.1177/01436244211003028","ISSN":"0143-6244","issue":"4","language":"EN","note":"publisher: SAGE Publications Ltd STM","page":"435-448","source":"SAGE Journals","title":"A review of research on dynamic thermal comfort","volume":"42","author":[{"family":"Cao","given":"Shuanghua"},{"family":"Li","given":"Xin"},{"family":"Yang","given":"Bing"},{"family":"Li","given":"Fan"}],"issued":{"date-parts":[["2021",7,1]]}}}],"schema":"https://github.com/citation-style-language/schema/raw/master/csl-citation.json"} </w:instrText>
      </w:r>
      <w:r>
        <w:fldChar w:fldCharType="separate"/>
      </w:r>
      <w:proofErr w:type="spellStart"/>
      <w:r w:rsidRPr="006A5F00">
        <w:rPr>
          <w:rFonts w:ascii="Aptos" w:hAnsi="Aptos" w:cs="Times New Roman"/>
          <w:kern w:val="0"/>
        </w:rPr>
        <w:t>Shuanghua</w:t>
      </w:r>
      <w:proofErr w:type="spellEnd"/>
      <w:r w:rsidRPr="006A5F00">
        <w:rPr>
          <w:rFonts w:ascii="Aptos" w:hAnsi="Aptos" w:cs="Times New Roman"/>
          <w:kern w:val="0"/>
        </w:rPr>
        <w:t xml:space="preserve"> Cao and others, ‘A Review of Research on Dynamic Thermal Comfort’, </w:t>
      </w:r>
      <w:r w:rsidRPr="006A5F00">
        <w:rPr>
          <w:rFonts w:ascii="Aptos" w:hAnsi="Aptos" w:cs="Times New Roman"/>
          <w:i/>
          <w:iCs/>
          <w:kern w:val="0"/>
        </w:rPr>
        <w:t>Building Services Engineering Research &amp; Technology</w:t>
      </w:r>
      <w:r w:rsidRPr="006A5F00">
        <w:rPr>
          <w:rFonts w:ascii="Aptos" w:hAnsi="Aptos" w:cs="Times New Roman"/>
          <w:kern w:val="0"/>
        </w:rPr>
        <w:t>, 42.4 (2021), pp. 435–48, doi:10.1177/01436244211003028.</w:t>
      </w:r>
      <w:r>
        <w:fldChar w:fldCharType="end"/>
      </w:r>
    </w:p>
  </w:endnote>
  <w:endnote w:id="15">
    <w:p w14:paraId="2972C8A6" w14:textId="1C75FC0C" w:rsidR="006A5F00" w:rsidRDefault="006A5F00">
      <w:pPr>
        <w:pStyle w:val="EndnoteText"/>
      </w:pPr>
      <w:r>
        <w:rPr>
          <w:rStyle w:val="EndnoteReference"/>
        </w:rPr>
        <w:endnoteRef/>
      </w:r>
      <w:r>
        <w:t xml:space="preserve"> </w:t>
      </w:r>
      <w:r>
        <w:fldChar w:fldCharType="begin"/>
      </w:r>
      <w:r w:rsidR="00262F7D">
        <w:instrText xml:space="preserve"> ADDIN ZOTERO_ITEM CSL_CITATION {"citationID":"EmiyJoin","properties":{"formattedCitation":"Matiwaza Ncube and Saffa Riffat, \\uc0\\u8216{}Developing an Indoor Environment Quality Tool for Assessment of Mechanically Ventilated Office Buildings in the UK \\uc0\\u8211{} A Preliminary Study\\uc0\\u8217{}, {\\i{}Building and Environment}, 53 (2012), pp. 26\\uc0\\u8211{}33, doi:10.1016/j.buildenv.2012.01.003.","plainCitation":"Matiwaza Ncube and Saffa Riffat, ‘Developing an Indoor Environment Quality Tool for Assessment of Mechanically Ventilated Office Buildings in the UK – A Preliminary Study’, Building and Environment, 53 (2012), pp. 26–33, doi:10.1016/j.buildenv.2012.01.003.","noteIndex":13},"citationItems":[{"id":58,"uris":["http://zotero.org/users/local/NlDyja2i/items/Y279IF5Q"],"itemData":{"id":58,"type":"article-journal","abstract":"This study describes the development of a new model for rapid assessment of Indoor Environment Quality (IEQ) in air-conditioned office buildings in the UK using design, measured, calculated and surveyed input data. The novelty of this model is that it addresses the need to present indoor environment performance ratings alongside energy performance certification and help determine by how much energy efficiency imperatives sacrifice human comfort. The model is based on the IEQindex which was developed from literature. The IEQindex is an expression which was derived from four contributing factors namely Thermal Comfort, Indoor Air quality (IAQ), Acoustic Comfort and Lighting. The relative weightings of each of the contributing factors were derived by fitting a multiple regression model to questionnaire data obtained from 68 occupants of two selected case study buildings in the UK. During questionnaire administration, measurement of indoor environment variables such as air temperature, relative humidity, air velocity, illuminance, CO2 concentrations and A-weighted sound pressure level was carried out in order to validate occupant responses. An empirical expression more suited to the air-conditioned offices in the UK was developed and the end result was a computer based program called the Indoor Environment Quality Assessment Tool (IEQAT). The model was compared to the AHP developed by Chiang et al. and the models showed good agreement.","container-title":"Building and Environment","DOI":"10.1016/j.buildenv.2012.01.003","journalAbbreviation":"Building and Environment","page":"26–33","source":"ResearchGate","title":"Developing an indoor environment quality tool for assessment of mechanically ventilated office buildings in the UK – A preliminary study","volume":"53","author":[{"family":"Ncube","given":"Matiwaza"},{"family":"Riffat","given":"Saffa"}],"issued":{"date-parts":[["2012",7,1]]}}}],"schema":"https://github.com/citation-style-language/schema/raw/master/csl-citation.json"} </w:instrText>
      </w:r>
      <w:r>
        <w:fldChar w:fldCharType="separate"/>
      </w:r>
      <w:proofErr w:type="spellStart"/>
      <w:r w:rsidRPr="006A5F00">
        <w:rPr>
          <w:rFonts w:ascii="Aptos" w:hAnsi="Aptos" w:cs="Times New Roman"/>
          <w:kern w:val="0"/>
        </w:rPr>
        <w:t>Matiwaza</w:t>
      </w:r>
      <w:proofErr w:type="spellEnd"/>
      <w:r w:rsidRPr="006A5F00">
        <w:rPr>
          <w:rFonts w:ascii="Aptos" w:hAnsi="Aptos" w:cs="Times New Roman"/>
          <w:kern w:val="0"/>
        </w:rPr>
        <w:t xml:space="preserve"> Ncube and Saffa Riffat, ‘Developing an Indoor Environment Quality Tool for Assessment of Mechanically Ventilated Office Buildings in the UK – A Preliminary Study’, </w:t>
      </w:r>
      <w:r w:rsidRPr="006A5F00">
        <w:rPr>
          <w:rFonts w:ascii="Aptos" w:hAnsi="Aptos" w:cs="Times New Roman"/>
          <w:i/>
          <w:iCs/>
          <w:kern w:val="0"/>
        </w:rPr>
        <w:t>Building and Environment</w:t>
      </w:r>
      <w:r w:rsidRPr="006A5F00">
        <w:rPr>
          <w:rFonts w:ascii="Aptos" w:hAnsi="Aptos" w:cs="Times New Roman"/>
          <w:kern w:val="0"/>
        </w:rPr>
        <w:t>, 53 (2012), pp. 26–33, doi:10.1016/j.buildenv.2012.01.003.</w:t>
      </w:r>
      <w:r>
        <w:fldChar w:fldCharType="end"/>
      </w:r>
    </w:p>
  </w:endnote>
  <w:endnote w:id="16">
    <w:p w14:paraId="67536019" w14:textId="4D697B12" w:rsidR="006A5F00" w:rsidRDefault="006A5F00">
      <w:pPr>
        <w:pStyle w:val="EndnoteText"/>
      </w:pPr>
      <w:r>
        <w:rPr>
          <w:rStyle w:val="EndnoteReference"/>
        </w:rPr>
        <w:endnoteRef/>
      </w:r>
      <w:r>
        <w:t xml:space="preserve"> </w:t>
      </w:r>
      <w:r>
        <w:fldChar w:fldCharType="begin"/>
      </w:r>
      <w:r w:rsidR="00262F7D">
        <w:instrText xml:space="preserve"> ADDIN ZOTERO_ITEM CSL_CITATION {"citationID":"CzQD32sH","properties":{"formattedCitation":"Marina Laskari, Stavroula Karatasou, and Mat Santamouris, \\uc0\\u8216{}A Methodology for the Determination of Indoor Environmental Quality in Residential Buildings through the Monitoring of Fundamental Environmental Parameters: A Proposed Dwelling Environmental Quality Index\\uc0\\u8217{}, {\\i{}Indoor and Built Environment}, 26 (2016), doi:10.1177/1420326X16660175.","plainCitation":"Marina Laskari, Stavroula Karatasou, and Mat Santamouris, ‘A Methodology for the Determination of Indoor Environmental Quality in Residential Buildings through the Monitoring of Fundamental Environmental Parameters: A Proposed Dwelling Environmental Quality Index’, Indoor and Built Environment, 26 (2016), doi:10.1177/1420326X16660175.","noteIndex":14},"citationItems":[{"id":61,"uris":["http://zotero.org/users/local/NlDyja2i/items/MJ3NV96Q"],"itemData":{"id":61,"type":"article-journal","abstract":"This paper presents the methodology for the calculation of an indoor environmental quality indicator for residential buildings. The ‘Dwelling Environmental Quality Index’ has been developed with the purpose of assisting both households and property managers to identify potential problems with the indoor environment whilst ensuring that indoor environmental quality is not compromised in favour of energy saving. Based on the combined effect of three simple and commonly measured indoor environmental parameters – air temperature, relative humidity and CO2 concentrations; the index reflects in a single value the quality of indoor environmental conditions for the monitored period, in compliance with the European standard EN15251:2007. The application of the Dwelling Environmental Quality Index in single dwellings and in building blocks is demonstrated. The usability of the index as a communication and management tool for individual households and property managers is also demonstrated.","container-title":"Indoor and Built Environment","DOI":"10.1177/1420326X16660175","journalAbbreviation":"Indoor and Built Environment","source":"ResearchGate","title":"A methodology for the determination of indoor environmental quality in residential buildings through the monitoring of fundamental environmental parameters: A proposed Dwelling Environmental Quality Index","title-short":"A methodology for the determination of indoor environmental quality in residential buildings through the monitoring of fundamental environmental parameters","volume":"26","author":[{"family":"Laskari","given":"Marina"},{"family":"Karatasou","given":"Stavroula"},{"family":"Santamouris","given":"Mat"}],"issued":{"date-parts":[["2016",7,19]]}}}],"schema":"https://github.com/citation-style-language/schema/raw/master/csl-citation.json"} </w:instrText>
      </w:r>
      <w:r>
        <w:fldChar w:fldCharType="separate"/>
      </w:r>
      <w:r w:rsidRPr="006A5F00">
        <w:rPr>
          <w:rFonts w:ascii="Aptos" w:hAnsi="Aptos" w:cs="Times New Roman"/>
          <w:kern w:val="0"/>
        </w:rPr>
        <w:t xml:space="preserve">Marina </w:t>
      </w:r>
      <w:proofErr w:type="spellStart"/>
      <w:r w:rsidRPr="006A5F00">
        <w:rPr>
          <w:rFonts w:ascii="Aptos" w:hAnsi="Aptos" w:cs="Times New Roman"/>
          <w:kern w:val="0"/>
        </w:rPr>
        <w:t>Laskari</w:t>
      </w:r>
      <w:proofErr w:type="spellEnd"/>
      <w:r w:rsidRPr="006A5F00">
        <w:rPr>
          <w:rFonts w:ascii="Aptos" w:hAnsi="Aptos" w:cs="Times New Roman"/>
          <w:kern w:val="0"/>
        </w:rPr>
        <w:t xml:space="preserve">, Stavroula </w:t>
      </w:r>
      <w:proofErr w:type="spellStart"/>
      <w:r w:rsidRPr="006A5F00">
        <w:rPr>
          <w:rFonts w:ascii="Aptos" w:hAnsi="Aptos" w:cs="Times New Roman"/>
          <w:kern w:val="0"/>
        </w:rPr>
        <w:t>Karatasou</w:t>
      </w:r>
      <w:proofErr w:type="spellEnd"/>
      <w:r w:rsidRPr="006A5F00">
        <w:rPr>
          <w:rFonts w:ascii="Aptos" w:hAnsi="Aptos" w:cs="Times New Roman"/>
          <w:kern w:val="0"/>
        </w:rPr>
        <w:t xml:space="preserve">, and Mat Santamouris, ‘A Methodology for the Determination of Indoor Environmental Quality in Residential Buildings through the Monitoring of Fundamental Environmental Parameters: A Proposed Dwelling Environmental Quality Index’, </w:t>
      </w:r>
      <w:r w:rsidRPr="006A5F00">
        <w:rPr>
          <w:rFonts w:ascii="Aptos" w:hAnsi="Aptos" w:cs="Times New Roman"/>
          <w:i/>
          <w:iCs/>
          <w:kern w:val="0"/>
        </w:rPr>
        <w:t>Indoor and Built Environment</w:t>
      </w:r>
      <w:r w:rsidRPr="006A5F00">
        <w:rPr>
          <w:rFonts w:ascii="Aptos" w:hAnsi="Aptos" w:cs="Times New Roman"/>
          <w:kern w:val="0"/>
        </w:rPr>
        <w:t>, 26 (2016), doi:10.1177/1420326X16660175.</w:t>
      </w:r>
      <w:r>
        <w:fldChar w:fldCharType="end"/>
      </w:r>
    </w:p>
  </w:endnote>
  <w:endnote w:id="17">
    <w:p w14:paraId="56B5C964" w14:textId="54E64C1C" w:rsidR="006A5F00" w:rsidRDefault="006A5F00">
      <w:pPr>
        <w:pStyle w:val="EndnoteText"/>
      </w:pPr>
      <w:r>
        <w:rPr>
          <w:rStyle w:val="EndnoteReference"/>
        </w:rPr>
        <w:endnoteRef/>
      </w:r>
      <w:r>
        <w:t xml:space="preserve"> </w:t>
      </w:r>
      <w:r>
        <w:fldChar w:fldCharType="begin"/>
      </w:r>
      <w:r w:rsidR="00262F7D">
        <w:instrText xml:space="preserve"> ADDIN ZOTERO_ITEM CSL_CITATION {"citationID":"Uxki0izX","properties":{"formattedCitation":"C. Buratti and others, \\uc0\\u8216{}A New Index Combining Thermal, Acoustic, and Visual Comfort of Moderate Environments in Temperate Climates\\uc0\\u8217{}, {\\i{}Building and Environment}, 139 (2018), pp. 27\\uc0\\u8211{}37, doi:10.1016/j.buildenv.2018.04.038.","plainCitation":"C. Buratti and others, ‘A New Index Combining Thermal, Acoustic, and Visual Comfort of Moderate Environments in Temperate Climates’, Building and Environment, 139 (2018), pp. 27–37, doi:10.1016/j.buildenv.2018.04.038.","noteIndex":15},"citationItems":[{"id":64,"uris":["http://zotero.org/users/local/NlDyja2i/items/RPSCHGLL"],"itemData":{"id":64,"type":"article-journal","abstract":"Students spend a lot of time at school, highlighting the great importance of providing comfortable conditions in educational buildings. Indoor environmental conditions are also related to student productivity and well-being, but Literature reviews mainly examine the effects of single parameters on human comfort, lacking in the evaluation of comfort combining different aspects, such as thermal, acoustic, and visual ones. The aim of the paper is to propose an index for the evaluation of the environmental comfort tacking into account thermal, acoustic, and lighting conditions. Seven university classrooms were investigated; measurements of environmental factors were performed including thermal, acoustic, and lighting parameters. Subjective evaluations were also carried out through survey questionnaires purposely elaborated. Three single indexes were proposed basing on the strongest correlation between questionnaire's answer and experimental results: a Predicted Mean Vote Index for the thermo-hygrometric conditions, a Sound Index for the acoustic comfort, and a Visual Index for the lighting conditions. All the indexes are dimensionless and normalized in a 0–1 range: values next to 1 indicate good comfort conditions and values next to 0 indicate bad comfort conditions. On the basis of different weights given for the three aspects, a final combined comfort index was calculated for each classroom and compared with questionnaires results, in order to assess the methodology.","container-title":"Building and Environment","DOI":"10.1016/j.buildenv.2018.04.038","ISSN":"0360-1323","journalAbbreviation":"Building and Environment","page":"27-37","source":"ScienceDirect","title":"A new index combining thermal, acoustic, and visual comfort of moderate environments in temperate climates","volume":"139","author":[{"family":"Buratti","given":"C."},{"family":"Belloni","given":"E."},{"family":"Merli","given":"F."},{"family":"Ricciardi","given":"P."}],"issued":{"date-parts":[["2018",7,1]]}}}],"schema":"https://github.com/citation-style-language/schema/raw/master/csl-citation.json"} </w:instrText>
      </w:r>
      <w:r>
        <w:fldChar w:fldCharType="separate"/>
      </w:r>
      <w:r w:rsidRPr="006A5F00">
        <w:rPr>
          <w:rFonts w:ascii="Aptos" w:hAnsi="Aptos" w:cs="Times New Roman"/>
          <w:kern w:val="0"/>
        </w:rPr>
        <w:t xml:space="preserve">C. Buratti and others, ‘A New Index Combining Thermal, Acoustic, and Visual Comfort of Moderate Environments in Temperate Climates’, </w:t>
      </w:r>
      <w:r w:rsidRPr="006A5F00">
        <w:rPr>
          <w:rFonts w:ascii="Aptos" w:hAnsi="Aptos" w:cs="Times New Roman"/>
          <w:i/>
          <w:iCs/>
          <w:kern w:val="0"/>
        </w:rPr>
        <w:t>Building and Environment</w:t>
      </w:r>
      <w:r w:rsidRPr="006A5F00">
        <w:rPr>
          <w:rFonts w:ascii="Aptos" w:hAnsi="Aptos" w:cs="Times New Roman"/>
          <w:kern w:val="0"/>
        </w:rPr>
        <w:t>, 139 (2018), pp. 27–37, doi:10.1016/j.buildenv.2018.04.038.</w:t>
      </w:r>
      <w:r>
        <w:fldChar w:fldCharType="end"/>
      </w:r>
    </w:p>
  </w:endnote>
  <w:endnote w:id="18">
    <w:p w14:paraId="733BE19C" w14:textId="5581ECEA" w:rsidR="006A5F00" w:rsidRDefault="006A5F00">
      <w:pPr>
        <w:pStyle w:val="EndnoteText"/>
      </w:pPr>
      <w:r>
        <w:rPr>
          <w:rStyle w:val="EndnoteReference"/>
        </w:rPr>
        <w:endnoteRef/>
      </w:r>
      <w:r>
        <w:t xml:space="preserve"> </w:t>
      </w:r>
      <w:r>
        <w:fldChar w:fldCharType="begin"/>
      </w:r>
      <w:r w:rsidR="00262F7D">
        <w:instrText xml:space="preserve"> ADDIN ZOTERO_ITEM CSL_CITATION {"citationID":"zE1pPfjP","properties":{"formattedCitation":"Barbara Hoffmann and others, \\uc0\\u8216{}WHO Air Quality Guidelines 2021\\uc0\\u8211{}Aiming for Healthier Air for All: A Joint Statement by Medical, Public Health, Scientific Societies and Patient Representative Organisations\\uc0\\u8217{}, {\\i{}International Journal of Public Health}, 66 (2021), p. 1604465, doi:10.3389/ijph.2021.1604465.","plainCitation":"Barbara Hoffmann and others, ‘WHO Air Quality Guidelines 2021–Aiming for Healthier Air for All: A Joint Statement by Medical, Public Health, Scientific Societies and Patient Representative Organisations’, International Journal of Public Health, 66 (2021), p. 1604465, doi:10.3389/ijph.2021.1604465.","noteIndex":16},"citationItems":[{"id":69,"uris":["http://zotero.org/users/local/NlDyja2i/items/VAWX7CIA"],"itemData":{"id":69,"type":"article-journal","abstract":"(AQG) in September 2021 (WHO 2021;WHO 2017). The new air quality guidelines (WHO AQG) are ambitious and reflect the large impact that air pollution has on global health. They recommend aiming for annual mean concentrations of PM 2.5 not exceeding 5 &amp;#181;g/m 3 and NO 2 not exceeding 10 &amp;#181;g/m 3 , and the peak season mean 8-hr ozone concentration not exceeding 60 &amp;#181;g/m 3 (WHO 2021). For reference, the corresponding 2005 WHO guideline values for PM 2.5 and NO 2 were, respectively, 10 &amp;#181;g/m 3 and 40 &amp;#181;g/m 3 with no recommendation issued for long-term ozone concentrations (WHO 2006). While the guidelines are not legally binding, we hope they will influence air quality policy across the globe for many years to come.The updated WHO AQGs have become so necessary as an overwhelming body of evidence has accumulated over the past two decades, demonstrating that health effects of air pollution are serious and can affect nearly all organ systems of the human body (Thurston et al. 2017). Importantly, recent studies and large research programmes consistently show that the adverse effects of air pollution are not only limited to high exposures; harmful health effects can be observed all the way down to very low concentration levels, with no observable thresholds below which exposure can be considered safe (Brauer et al. 2019;Brunekreef et al. 2021;Dominici et al. 2019).There is now broad expert consensus that air pollution is a major global public health risk factor and puts an enormous financial burden on societies. Outdoor and household air pollution together accounted for approximately 12% of all deaths in 2019. Air pollution currently ranks fourth among major risk factors for global disease and mortality, only behind hypertension, smoking and dietary factors (Murray et al. 2020). In terms of economic burden, the estimated global health-related external costs (i.e., those borne by society as a whole) were US$ 5 trillion in 2013 with an additional US$ 225 billion in lost labour productivity (World Bank Group 2016). For the WHO European Region, the overall annual economic cost of health impacts and mortality from air pollution, including estimates for morbidity costs, stood at US$ 1.575 trillion (WHO Regional Office for Europe, OECD 2015).The most important message of the updated WHO AQG is that each reduction in the outdoor concentrations of key air pollutants brings health benefits to the surrounding population, even in places which already have low pollution concentrations. Moreover, linear exposure-response relationships down to the lowest observable concentrations show that every individual will benefit from cleaner air (Huangfu and Atkinson 2020; Lee et al. 2020;Chen and Hoek 2020;Orellano et al. 2020;Zheng et al. 2021). These findings provide critical input into clean air policies and regulation around the world.They also are key to estimating the potential health and economic benefits from policies that reduce exposure to air pollution.Recognising that the adverse health effects of pollution exposure can be seen at all, even the lowest, observed levels of pollution concentrations, is a milestone for cleaner air and better health policies and offers a wake-up call, to reconsider current air quality legislation and regulations. To maximise health benefits, we now understand better the importance of implementing measures to reduce average exposures of all people. Such an approach must complement reductions in exposure at &amp;quot;hotspots&amp;quot; with high levels of air pollution, in particular to address known inequities owing to socioeconomic conditions, increased vulnerability of the residential population, and economic activities (Hooper and Kaufman, 2018). To tackle the health effects of air pollution, bold air quality actions are needed at all levels -international, national, local -and across all sectors such as transport, energy, industry, agriculture, and residential.Most jurisdictions with clean air regulations have relied on fixed limit values with little incentive to further reduce air pollution levels once compliance with the limit value is achieved (Kutlar Joss et al. 2017). Given the evidence that health effects occur all the way down to very low concentration levels, future clean air policies must include incentives for progressive lowering of exposures of the entire population, thereby improving health for all. What is needed is a paradigm change from relying solely on fixed limit values, with a shift towards the concept of combining fixed limit values with a continuous reduction of the average exposure. For example, the current European Union (EU) Ambient Air Quality Directive already contains a non-binding average exposure reduction target (European Commission 2008). The upcoming 2022 revision of the EU Ambient Air Quality Directive will offer the chance to lead the way and implement binding average exposure reduction goals for air pollutants in combination with lowered fixed limit values.Programmes that reduce air pollutant emissions provide enormous air quality and health benefits which increase over time. The estimated health benefits of improved air quality outweigh by far the implementation costs of air quality actions. For the US, it has been estimated that the benefits from decreased mortality, lower medical expenditures for air pollution-related diseases, and higher productivity of workers are around 30 times greater than the costs of the Clean Air Act, resulting in net improvements of economic growth and population welfare (U.S. EPA. 2015). In China, public health benefits were 50% greater than the costs for air quality improvement measures (Zhang et al. 2019). Similarly, for the EU, additional clean air and climate policies beyond the current obligations will lead to net benefits with positive macroeconomic implications (Amann et al. 2017). Indeed, the cost effectiveness of air quality actions is enhanced by the close link between air pollution and greenhouse gas emissions. A reduction of air pollution emissions will also feed into efforts for climate neutrality and vice versa, making benefits from investments in one area count twice (Amann et al. 2014, IPCC 2021.Air pollution is a major global public health threat that causes a range of adverse health effects, even at the lowest observable concentrations. There is ample evidence to strongly support government action to reduce air pollution and address climate change simultaneously. The updated WHO AQG are bold and stress the importance of lowering air pollution concentrations at every level. The benefits are clear: lowering air pollution levels will lead to enormous improvements in public health for people of all ages breathing cleaner air. We support the recommendations of the new WHO AQG, and urge nations to use the WHO AQG as a guide for ambitious air quality and emission reduction policies around the world.","container-title":"International Journal of Public Health","DOI":"10.3389/ijph.2021.1604465","ISSN":"1661-8564","journalAbbreviation":"Int J Public Health","language":"English","note":"publisher: SSPH+","page":"1604465","source":"www.ssph-journal.org","title":"WHO Air Quality Guidelines 2021–Aiming for Healthier Air for all: A Joint Statement by Medical, Public Health, Scientific Societies and Patient Representative Organisations","title-short":"WHO Air Quality Guidelines 2021–Aiming for Healthier Air for all","volume":"66","author":[{"family":"Hoffmann","given":"Barbara"},{"family":"Boogaard","given":"Hanna"},{"family":"Nazelle","given":"Audrey","non-dropping-particle":"de"},{"family":"Andersen","given":"Zorana J."},{"family":"Abramson","given":"Michael"},{"family":"Brauer","given":"Michael"},{"family":"Brunekreef","given":"Bert"},{"family":"Forastiere","given":"Francesco"},{"family":"Huang","given":"Wei"},{"family":"Kan","given":"Haidong"},{"family":"Kaufman","given":"Joel D."},{"family":"Katsouyanni","given":"Klea"},{"family":"Krzyzanowski","given":"Michal"},{"family":"Kuenzli","given":"Nino"},{"family":"Laden","given":"Francine"},{"family":"Nieuwenhuijsen","given":"Mark"},{"family":"Mustapha","given":"Adetoun"},{"family":"Powell","given":"Pippa"},{"family":"Rice","given":"Mary"},{"family":"Roca-Barceló","given":"Aina"},{"family":"Roscoe","given":"Charlotte J."},{"family":"Soares","given":"Agnes"},{"family":"Straif","given":"Kurt"},{"family":"Thurston","given":"George"}],"issued":{"date-parts":[["2021",9,23]]}}}],"schema":"https://github.com/citation-style-language/schema/raw/master/csl-citation.json"} </w:instrText>
      </w:r>
      <w:r>
        <w:fldChar w:fldCharType="separate"/>
      </w:r>
      <w:r w:rsidRPr="006A5F00">
        <w:rPr>
          <w:rFonts w:ascii="Aptos" w:hAnsi="Aptos" w:cs="Times New Roman"/>
          <w:kern w:val="0"/>
        </w:rPr>
        <w:t xml:space="preserve">Barbara Hoffmann and others, ‘WHO Air Quality Guidelines 2021–Aiming for Healthier Air for All: A Joint Statement by Medical, Public Health, Scientific Societies and Patient Representative Organisations’, </w:t>
      </w:r>
      <w:r w:rsidRPr="006A5F00">
        <w:rPr>
          <w:rFonts w:ascii="Aptos" w:hAnsi="Aptos" w:cs="Times New Roman"/>
          <w:i/>
          <w:iCs/>
          <w:kern w:val="0"/>
        </w:rPr>
        <w:t>International Journal of Public Health</w:t>
      </w:r>
      <w:r w:rsidRPr="006A5F00">
        <w:rPr>
          <w:rFonts w:ascii="Aptos" w:hAnsi="Aptos" w:cs="Times New Roman"/>
          <w:kern w:val="0"/>
        </w:rPr>
        <w:t>, 66 (2021), p. 1604465, doi:10.3389/ijph.2021.1604465.</w:t>
      </w:r>
      <w:r>
        <w:fldChar w:fldCharType="end"/>
      </w:r>
    </w:p>
  </w:endnote>
  <w:endnote w:id="19">
    <w:p w14:paraId="2D235DA9" w14:textId="2D6FDD0E" w:rsidR="00640DD0" w:rsidRDefault="00640DD0">
      <w:pPr>
        <w:pStyle w:val="EndnoteText"/>
      </w:pPr>
      <w:r>
        <w:rPr>
          <w:rStyle w:val="EndnoteReference"/>
        </w:rPr>
        <w:endnoteRef/>
      </w:r>
      <w:r>
        <w:t xml:space="preserve"> </w:t>
      </w:r>
      <w:r>
        <w:fldChar w:fldCharType="begin"/>
      </w:r>
      <w:r w:rsidR="00262F7D">
        <w:instrText xml:space="preserve"> ADDIN ZOTERO_ITEM CSL_CITATION {"citationID":"eXOcgg57","properties":{"formattedCitation":"Tobias Brudermueller and others, \\uc0\\u8216{}Large-Scale Monitoring of Residential Heat Pump Cycling Using Smart Meter Data\\uc0\\u8217{}, {\\i{}Applied Energy}, 350 (2023), p. 121734, doi:10.1016/j.apenergy.2023.121734.","plainCitation":"Tobias Brudermueller and others, ‘Large-Scale Monitoring of Residential Heat Pump Cycling Using Smart Meter Data’, Applied Energy, 350 (2023), p. 121734, doi:10.1016/j.apenergy.2023.121734.","noteIndex":17},"citationItems":[{"id":74,"uris":["http://zotero.org/users/local/NlDyja2i/items/IMJ8HI68"],"itemData":{"id":74,"type":"article-journal","abstract":"Heat pumps play an essential role in decarbonizing the building sector, but their electricity consumption can vary significantly across buildings. This variability is closely related to their cycling behavior (i.e., the frequency of on–off transitions), which is also an indicator for improper sizing and non-optimal settings and can affect a heat pump’s lifetime. Up to now it has been unclear which cycling behaviors are typical and atypical for heat pump operation in the field and importantly, there is a lack of methods to identify heat pumps that cycle atypically. Therefore, in this study we develop a method to monitor heat pumps with energy measurements delivered by common smart electricity meters, which also cover heat pumps without network connectivity. We show how smart meter data with 15-minute resolution can be used to extract key indicators about heat pump cycling and outline how atypical behavior can be detected after controlling for outdoor temperature. Our method is robust across different building characteristics and varying times of observation, does not require contextual information, and can be implemented with existing smart meter data, making it suitable for real-world applications. Analyzing 503 heat pumps in Swiss households over a period of 21 months, we further describe behavioral differences with respect to building and heat pump characteristics and study the relationship between heat pumps’ cycling behavior, energy efficiency, and appropriate sizing. Our results show that outliers in cycling behavior are more than twice as common for air-source heat pumps than for ground-source heat pumps.","container-title":"Applied Energy","DOI":"10.1016/j.apenergy.2023.121734","ISSN":"0306-2619","journalAbbreviation":"Applied Energy","page":"121734","source":"ScienceDirect","title":"Large-scale monitoring of residential heat pump cycling using smart meter data","volume":"350","author":[{"family":"Brudermueller","given":"Tobias"},{"family":"Kreft","given":"Markus"},{"family":"Fleisch","given":"Elgar"},{"family":"Staake","given":"Thorsten"}],"issued":{"date-parts":[["2023",11,15]]}}}],"schema":"https://github.com/citation-style-language/schema/raw/master/csl-citation.json"} </w:instrText>
      </w:r>
      <w:r>
        <w:fldChar w:fldCharType="separate"/>
      </w:r>
      <w:r w:rsidRPr="00640DD0">
        <w:rPr>
          <w:rFonts w:ascii="Aptos" w:hAnsi="Aptos" w:cs="Times New Roman"/>
          <w:kern w:val="0"/>
        </w:rPr>
        <w:t xml:space="preserve">Tobias </w:t>
      </w:r>
      <w:proofErr w:type="spellStart"/>
      <w:r w:rsidRPr="00640DD0">
        <w:rPr>
          <w:rFonts w:ascii="Aptos" w:hAnsi="Aptos" w:cs="Times New Roman"/>
          <w:kern w:val="0"/>
        </w:rPr>
        <w:t>Brudermueller</w:t>
      </w:r>
      <w:proofErr w:type="spellEnd"/>
      <w:r w:rsidRPr="00640DD0">
        <w:rPr>
          <w:rFonts w:ascii="Aptos" w:hAnsi="Aptos" w:cs="Times New Roman"/>
          <w:kern w:val="0"/>
        </w:rPr>
        <w:t xml:space="preserve"> and others, ‘Large-Scale Monitoring of Residential Heat Pump Cycling Using Smart Meter Data’, </w:t>
      </w:r>
      <w:r w:rsidRPr="00640DD0">
        <w:rPr>
          <w:rFonts w:ascii="Aptos" w:hAnsi="Aptos" w:cs="Times New Roman"/>
          <w:i/>
          <w:iCs/>
          <w:kern w:val="0"/>
        </w:rPr>
        <w:t>Applied Energy</w:t>
      </w:r>
      <w:r w:rsidRPr="00640DD0">
        <w:rPr>
          <w:rFonts w:ascii="Aptos" w:hAnsi="Aptos" w:cs="Times New Roman"/>
          <w:kern w:val="0"/>
        </w:rPr>
        <w:t>, 350 (2023), p. 121734, doi:10.1016/j.apenergy.2023.121734.</w:t>
      </w:r>
      <w:r>
        <w:fldChar w:fldCharType="end"/>
      </w:r>
    </w:p>
  </w:endnote>
  <w:endnote w:id="20">
    <w:p w14:paraId="04165A1C" w14:textId="4FCD3E1A" w:rsidR="00640DD0" w:rsidRDefault="00640DD0">
      <w:pPr>
        <w:pStyle w:val="EndnoteText"/>
      </w:pPr>
      <w:r>
        <w:rPr>
          <w:rStyle w:val="EndnoteReference"/>
        </w:rPr>
        <w:endnoteRef/>
      </w:r>
      <w:r>
        <w:t xml:space="preserve"> </w:t>
      </w:r>
      <w:r>
        <w:fldChar w:fldCharType="begin"/>
      </w:r>
      <w:r w:rsidR="00262F7D">
        <w:instrText xml:space="preserve"> ADDIN ZOTERO_ITEM CSL_CITATION {"citationID":"EBJZYY8I","properties":{"formattedCitation":"Luyao Ma and others, \\uc0\\u8216{}PUMPNET: A Deep Learning Approach to Pump Operation Detection\\uc0\\u8217{}, {\\i{}Energy Informatics}, 4.1 (2021), p. 1, doi:10.1186/s42162-020-00135-3.","plainCitation":"Luyao Ma and others, ‘PUMPNET: A Deep Learning Approach to Pump Operation Detection’, Energy Informatics, 4.1 (2021), p. 1, doi:10.1186/s42162-020-00135-3.","noteIndex":18},"citationItems":[{"id":79,"uris":["http://zotero.org/users/local/NlDyja2i/items/VKXNIYVD"],"itemData":{"id":79,"type":"article-journal","abstract":"Non-urgent high energy-consuming residential appliances, such as pool pumps, may significantly affect the peak to average ratio (PAR) of energy demand in smart grids. Effective load monitoring is an important step to provide efficient demand response (DR) to PAR. In this paper, we focus on pool pump analytics and present a deep learning framework, PUMPNET, to identify the pool pump operation patterns from power consumption data. Different from conventional time-series based Non-intrusive Load Monitoring (NILM) methods, our approach transfers the time-series data into image-like (date-time matrix) data. Then a U-shaped fully convolutional neural network is developed to detect and segment the image-like data in pixel level for operation detection. Our approach identify whether pool pumps operate given thirty-minute interval aggregated active power consumption data in kilowatt-hours only. Furthermore, the PUMPNET algorithm could identify pool pump operation status with high accuracy in the low-frequency sampling scenario for thousands of household, compared to traditional NILM algorithms which process high sampling rate data and can only apply to limited number of households. Experiments on real-world data validate the promising results of the proposed PUMPNET model.","container-title":"Energy Informatics","DOI":"10.1186/s42162-020-00135-3","ISSN":"2520-8942","issue":"1","journalAbbreviation":"Energy Informatics","page":"1","source":"BioMed Central","title":"PUMPNET: a deep learning approach to pump operation detection","title-short":"PUMPNET","volume":"4","author":[{"family":"Ma","given":"Luyao"},{"family":"Meng","given":"Qingyu"},{"family":"Pan","given":"Shirui"},{"family":"Liebman","given":"Ariel"}],"issued":{"date-parts":[["2021",1,7]]}}}],"schema":"https://github.com/citation-style-language/schema/raw/master/csl-citation.json"} </w:instrText>
      </w:r>
      <w:r>
        <w:fldChar w:fldCharType="separate"/>
      </w:r>
      <w:proofErr w:type="spellStart"/>
      <w:r w:rsidRPr="00640DD0">
        <w:rPr>
          <w:rFonts w:ascii="Aptos" w:hAnsi="Aptos" w:cs="Times New Roman"/>
          <w:kern w:val="0"/>
        </w:rPr>
        <w:t>Luyao</w:t>
      </w:r>
      <w:proofErr w:type="spellEnd"/>
      <w:r w:rsidRPr="00640DD0">
        <w:rPr>
          <w:rFonts w:ascii="Aptos" w:hAnsi="Aptos" w:cs="Times New Roman"/>
          <w:kern w:val="0"/>
        </w:rPr>
        <w:t xml:space="preserve"> Ma and others, ‘PUMPNET: A Deep Learning Approach to Pump Operation Detection’, </w:t>
      </w:r>
      <w:r w:rsidRPr="00640DD0">
        <w:rPr>
          <w:rFonts w:ascii="Aptos" w:hAnsi="Aptos" w:cs="Times New Roman"/>
          <w:i/>
          <w:iCs/>
          <w:kern w:val="0"/>
        </w:rPr>
        <w:t>Energy Informatics</w:t>
      </w:r>
      <w:r w:rsidRPr="00640DD0">
        <w:rPr>
          <w:rFonts w:ascii="Aptos" w:hAnsi="Aptos" w:cs="Times New Roman"/>
          <w:kern w:val="0"/>
        </w:rPr>
        <w:t>, 4.1 (2021), p. 1, doi:10.1186/s42162-020-00135-3.</w:t>
      </w:r>
      <w:r>
        <w:fldChar w:fldCharType="end"/>
      </w:r>
    </w:p>
  </w:endnote>
  <w:endnote w:id="21">
    <w:p w14:paraId="5A51F3C4" w14:textId="1CF3F089" w:rsidR="00640DD0" w:rsidRDefault="00640DD0">
      <w:pPr>
        <w:pStyle w:val="EndnoteText"/>
      </w:pPr>
      <w:r>
        <w:rPr>
          <w:rStyle w:val="EndnoteReference"/>
        </w:rPr>
        <w:endnoteRef/>
      </w:r>
      <w:r>
        <w:t xml:space="preserve"> </w:t>
      </w:r>
      <w:r>
        <w:fldChar w:fldCharType="begin"/>
      </w:r>
      <w:r w:rsidR="00262F7D">
        <w:instrText xml:space="preserve"> ADDIN ZOTERO_ITEM CSL_CITATION {"citationID":"vXSDFD8x","properties":{"formattedCitation":"Monica M. Eskander and Carlos A. Silva, \\uc0\\u8216{}A Complementary Unsupervised Load Disaggregation Method for Residential Loads at Very Low Sampling Rate Data\\uc0\\u8217{}, {\\i{}Sustainable Energy Technologies and Assessments}, 43 (2021), p. 100921, doi:10.1016/j.seta.2020.100921.","plainCitation":"Monica M. Eskander and Carlos A. Silva, ‘A Complementary Unsupervised Load Disaggregation Method for Residential Loads at Very Low Sampling Rate Data’, Sustainable Energy Technologies and Assessments, 43 (2021), p. 100921, doi:10.1016/j.seta.2020.100921.","noteIndex":19},"citationItems":[{"id":77,"uris":["http://zotero.org/users/local/NlDyja2i/items/3UIQBJKQ"],"itemData":{"id":77,"type":"article-journal","abstract":"In this paper, low-resolution smart metering data analysis is applied to breakdown the load consumption for household appliances to facilitate the deployment of residential energy management solutions. A complementary NILM approach for smart meter data with a very low sampling rate is designed to disaggregate the energy consumption data for both household space thermal appliances and small appliances. The load disaggregation approach relies only on the general activity time usage data and public statistical data for appliance consumptions. A novel three-step disaggregation topology is applied to complement NILM problems. The first step is separating white appliances loads using existing NILM algorithms (commercial algorithm of WATT-IS company). The second disaggregation step couples an edge detection technique with a k-means cluster method to detect the ON/OFF event for heating and cooling loads, from the residual aggregated loads. Finally, a novel disaggregation approach using a dynamic fuzzy logic model and a predictive method is applied for the remaining aggregated loads to identify the ON/OFF event occurrence for small appliances. The proposed method is validated using French household dataset with 10 min sample data rates. Then it is applied to disaggregate the load consumption for Portuguese household dataset with 15 min sample data rates.","container-title":"Sustainable Energy Technologies and Assessments","DOI":"10.1016/j.seta.2020.100921","ISSN":"2213-1388","journalAbbreviation":"Sustainable Energy Technologies and Assessments","page":"100921","source":"ScienceDirect","title":"A complementary unsupervised load disaggregation method for residential loads at very low sampling rate data","volume":"43","author":[{"family":"Eskander","given":"Monica M."},{"family":"Silva","given":"Carlos A."}],"issued":{"date-parts":[["2021",2,1]]}}}],"schema":"https://github.com/citation-style-language/schema/raw/master/csl-citation.json"} </w:instrText>
      </w:r>
      <w:r>
        <w:fldChar w:fldCharType="separate"/>
      </w:r>
      <w:r w:rsidRPr="00640DD0">
        <w:rPr>
          <w:rFonts w:ascii="Aptos" w:hAnsi="Aptos" w:cs="Times New Roman"/>
          <w:kern w:val="0"/>
        </w:rPr>
        <w:t xml:space="preserve">Monica M. Eskander and Carlos A. Silva, ‘A Complementary Unsupervised Load Disaggregation Method for Residential Loads at Very Low Sampling Rate Data’, </w:t>
      </w:r>
      <w:r w:rsidRPr="00640DD0">
        <w:rPr>
          <w:rFonts w:ascii="Aptos" w:hAnsi="Aptos" w:cs="Times New Roman"/>
          <w:i/>
          <w:iCs/>
          <w:kern w:val="0"/>
        </w:rPr>
        <w:t>Sustainable Energy Technologies and Assessments</w:t>
      </w:r>
      <w:r w:rsidRPr="00640DD0">
        <w:rPr>
          <w:rFonts w:ascii="Aptos" w:hAnsi="Aptos" w:cs="Times New Roman"/>
          <w:kern w:val="0"/>
        </w:rPr>
        <w:t>, 43 (2021), p. 100921, doi:10.1016/j.seta.2020.100921.</w:t>
      </w:r>
      <w:r>
        <w:fldChar w:fldCharType="end"/>
      </w:r>
    </w:p>
  </w:endnote>
  <w:endnote w:id="22">
    <w:p w14:paraId="1BE028DE" w14:textId="4DA61353" w:rsidR="00640DD0" w:rsidRDefault="00640DD0" w:rsidP="00640DD0">
      <w:pPr>
        <w:pStyle w:val="EndnoteText"/>
      </w:pPr>
      <w:r>
        <w:rPr>
          <w:rStyle w:val="EndnoteReference"/>
        </w:rPr>
        <w:endnoteRef/>
      </w:r>
      <w:r>
        <w:t xml:space="preserve"> </w:t>
      </w:r>
      <w:r>
        <w:fldChar w:fldCharType="begin"/>
      </w:r>
      <w:r w:rsidR="00262F7D">
        <w:instrText xml:space="preserve"> ADDIN ZOTERO_ITEM CSL_CITATION {"citationID":"JUqlEUIR","properties":{"formattedCitation":"Mikel Lumbreras and others, \\uc0\\u8216{}Unsupervised Recognition and Prediction of Daily Patterns in Heating Loads in Buildings\\uc0\\u8217{}, {\\i{}Journal of Building Engineering}, 65 (2023), p. 105732, doi:10.1016/j.jobe.2022.105732.","plainCitation":"Mikel Lumbreras and others, ‘Unsupervised Recognition and Prediction of Daily Patterns in Heating Loads in Buildings’, Journal of Building Engineering, 65 (2023), p. 105732, doi:10.1016/j.jobe.2022.105732.","noteIndex":20},"citationItems":[{"id":71,"uris":["http://zotero.org/users/local/NlDyja2i/items/TY9JBJSK"],"itemData":{"id":71,"type":"article-journal","abstract":"This paper presents a multistep methodology combining unsupervised and supervised learning techniques for the identification of the daily heating energy consumption patterns in buildings. The relevant number of typical profiles is obtained through unsupervised clustering processes. Then Classification and Regression Trees are used to predict the profile type corresponding to external variables, including calendar and climatic variables, from any given day. The methodology is tested with a variety of datasets for three different buildings with different uses connected to the district heating network in Tartu (Estonia). The three buildings under analysis present different energy behaviors (residential, kindergarten and commercial buildings). The paper shows that unsupervised clustering is effective for pattern recognition since the results from the classification and regression trees match the results from the unsupervised clustering. Three main patterns have been identified in each building, seasonality and daily mean temperature being the variables that have the greatest effect. The results concluded that the best classification accuracy is obtained with a small number of clusters with a classification accuracy from 0.7 to 0.85, approximately.","container-title":"Journal of Building Engineering","DOI":"10.1016/j.jobe.2022.105732","ISSN":"2352-7102","journalAbbreviation":"Journal of Building Engineering","page":"105732","source":"ScienceDirect","title":"Unsupervised recognition and prediction of daily patterns in heating loads in buildings","volume":"65","author":[{"family":"Lumbreras","given":"Mikel"},{"family":"Diarce","given":"Gonzalo"},{"family":"Martin","given":"Koldobika"},{"family":"Garay-Martinez","given":"Roberto"},{"family":"Arregi","given":"Beñat"}],"issued":{"date-parts":[["2023",4,15]]}}}],"schema":"https://github.com/citation-style-language/schema/raw/master/csl-citation.json"} </w:instrText>
      </w:r>
      <w:r>
        <w:fldChar w:fldCharType="separate"/>
      </w:r>
      <w:r w:rsidRPr="00640DD0">
        <w:rPr>
          <w:rFonts w:ascii="Aptos" w:hAnsi="Aptos" w:cs="Times New Roman"/>
          <w:kern w:val="0"/>
        </w:rPr>
        <w:t xml:space="preserve">Mikel Lumbreras and others, ‘Unsupervised Recognition and Prediction of Daily Patterns in Heating Loads in Buildings’, </w:t>
      </w:r>
      <w:r w:rsidRPr="00640DD0">
        <w:rPr>
          <w:rFonts w:ascii="Aptos" w:hAnsi="Aptos" w:cs="Times New Roman"/>
          <w:i/>
          <w:iCs/>
          <w:kern w:val="0"/>
        </w:rPr>
        <w:t>Journal of Building Engineering</w:t>
      </w:r>
      <w:r w:rsidRPr="00640DD0">
        <w:rPr>
          <w:rFonts w:ascii="Aptos" w:hAnsi="Aptos" w:cs="Times New Roman"/>
          <w:kern w:val="0"/>
        </w:rPr>
        <w:t>, 65 (2023), p. 105732, doi:10.1016/j.jobe.2022.105732.</w:t>
      </w:r>
      <w:r>
        <w:fldChar w:fldCharType="end"/>
      </w:r>
    </w:p>
  </w:endnote>
  <w:endnote w:id="23">
    <w:p w14:paraId="7B6A3D20" w14:textId="7F12191C" w:rsidR="00640DD0" w:rsidRDefault="00640DD0">
      <w:pPr>
        <w:pStyle w:val="EndnoteText"/>
      </w:pPr>
      <w:r>
        <w:rPr>
          <w:rStyle w:val="EndnoteReference"/>
        </w:rPr>
        <w:endnoteRef/>
      </w:r>
      <w:r>
        <w:t xml:space="preserve"> </w:t>
      </w:r>
      <w:r>
        <w:fldChar w:fldCharType="begin"/>
      </w:r>
      <w:r w:rsidR="00262F7D">
        <w:instrText xml:space="preserve"> ADDIN ZOTERO_ITEM CSL_CITATION {"citationID":"81RJH7NI","properties":{"formattedCitation":"Marlon Schlemminger and others, \\uc0\\u8216{}Dataset on Electrical Single-Family House and Heat Pump Load Profiles in Germany\\uc0\\u8217{}, {\\i{}Scientific Data}, 9.1 (2022), p. 56, doi:10.1038/s41597-022-01156-1.","plainCitation":"Marlon Schlemminger and others, ‘Dataset on Electrical Single-Family House and Heat Pump Load Profiles in Germany’, Scientific Data, 9.1 (2022), p. 56, doi:10.1038/s41597-022-01156-1.","noteIndex":21},"citationItems":[{"id":82,"uris":["http://zotero.org/users/local/NlDyja2i/items/V6M67RK4"],"itemData":{"id":82,"type":"article-journal","abstract":"This paper describes a dataset of residential electricity household and heat pump load profiles, measured in 38 single-family houses in Northern Germany. We provide data per household of apparent, active and reactive power (W), voltage (V), current (A) and the power factor (no unit) in 10</w:instrText>
      </w:r>
      <w:r w:rsidR="00262F7D">
        <w:rPr>
          <w:rFonts w:ascii="Arial" w:hAnsi="Arial" w:cs="Arial"/>
        </w:rPr>
        <w:instrText> </w:instrText>
      </w:r>
      <w:r w:rsidR="00262F7D">
        <w:instrText>seconds to 60</w:instrText>
      </w:r>
      <w:r w:rsidR="00262F7D">
        <w:rPr>
          <w:rFonts w:ascii="Arial" w:hAnsi="Arial" w:cs="Arial"/>
        </w:rPr>
        <w:instrText> </w:instrText>
      </w:r>
      <w:r w:rsidR="00262F7D">
        <w:instrText xml:space="preserve">minutes temporal resolution from May 2018 to the end of 2020. We validated the dataset both in itself, comparing different measurements that should produce the same results, and externally to standard load profiles and found no major inconsistencies. We identified an average consumption per single-family house with 2.38 inhabitants of 2829 kWh for the household and an additional 4993 kWh for the heat pump. The dataset can support the understanding of patterns in electrical load curves and can help to estimate the additional load on distribution networks induced by heat pumps.","container-title":"Scientific Data","DOI":"10.1038/s41597-022-01156-1","ISSN":"2052-4463","issue":"1","journalAbbreviation":"Sci Data","language":"en","license":"2022 The Author(s)","note":"publisher: Nature Publishing Group","page":"56","source":"www.nature.com","title":"Dataset on electrical single-family house and heat pump load profiles in Germany","volume":"9","author":[{"family":"Schlemminger","given":"Marlon"},{"family":"Ohrdes","given":"Tobias"},{"family":"Schneider","given":"Elisabeth"},{"family":"Knoop","given":"Michael"}],"issued":{"date-parts":[["2022",2,15]]}}}],"schema":"https://github.com/citation-style-language/schema/raw/master/csl-citation.json"} </w:instrText>
      </w:r>
      <w:r>
        <w:fldChar w:fldCharType="separate"/>
      </w:r>
      <w:r w:rsidRPr="00640DD0">
        <w:rPr>
          <w:rFonts w:ascii="Aptos" w:hAnsi="Aptos" w:cs="Times New Roman"/>
          <w:kern w:val="0"/>
        </w:rPr>
        <w:t xml:space="preserve">Marlon </w:t>
      </w:r>
      <w:proofErr w:type="spellStart"/>
      <w:r w:rsidRPr="00640DD0">
        <w:rPr>
          <w:rFonts w:ascii="Aptos" w:hAnsi="Aptos" w:cs="Times New Roman"/>
          <w:kern w:val="0"/>
        </w:rPr>
        <w:t>Schlemminger</w:t>
      </w:r>
      <w:proofErr w:type="spellEnd"/>
      <w:r w:rsidRPr="00640DD0">
        <w:rPr>
          <w:rFonts w:ascii="Aptos" w:hAnsi="Aptos" w:cs="Times New Roman"/>
          <w:kern w:val="0"/>
        </w:rPr>
        <w:t xml:space="preserve"> and others, ‘Dataset on Electrical Single-Family House and Heat Pump Load Profiles in Germany’, </w:t>
      </w:r>
      <w:r w:rsidRPr="00640DD0">
        <w:rPr>
          <w:rFonts w:ascii="Aptos" w:hAnsi="Aptos" w:cs="Times New Roman"/>
          <w:i/>
          <w:iCs/>
          <w:kern w:val="0"/>
        </w:rPr>
        <w:t>Scientific Data</w:t>
      </w:r>
      <w:r w:rsidRPr="00640DD0">
        <w:rPr>
          <w:rFonts w:ascii="Aptos" w:hAnsi="Aptos" w:cs="Times New Roman"/>
          <w:kern w:val="0"/>
        </w:rPr>
        <w:t>, 9.1 (2022), p. 56, doi:10.1038/s41597-022-01156-1.</w:t>
      </w: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54460" w14:textId="77777777" w:rsidR="009B2C03" w:rsidRDefault="009B2C03" w:rsidP="00997412">
      <w:pPr>
        <w:spacing w:after="0" w:line="240" w:lineRule="auto"/>
      </w:pPr>
      <w:r>
        <w:separator/>
      </w:r>
    </w:p>
  </w:footnote>
  <w:footnote w:type="continuationSeparator" w:id="0">
    <w:p w14:paraId="369C013D" w14:textId="77777777" w:rsidR="009B2C03" w:rsidRDefault="009B2C03" w:rsidP="00997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65E"/>
    <w:multiLevelType w:val="hybridMultilevel"/>
    <w:tmpl w:val="37A8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B2383"/>
    <w:multiLevelType w:val="multilevel"/>
    <w:tmpl w:val="90A6D506"/>
    <w:lvl w:ilvl="0">
      <w:start w:val="1"/>
      <w:numFmt w:val="decimal"/>
      <w:pStyle w:val="HeadingBody"/>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0AA5FE1"/>
    <w:multiLevelType w:val="hybridMultilevel"/>
    <w:tmpl w:val="E982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A71D71"/>
    <w:multiLevelType w:val="multilevel"/>
    <w:tmpl w:val="47FA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022C0C"/>
    <w:multiLevelType w:val="hybridMultilevel"/>
    <w:tmpl w:val="0CB035F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16cid:durableId="1174688200">
    <w:abstractNumId w:val="1"/>
  </w:num>
  <w:num w:numId="2" w16cid:durableId="850490137">
    <w:abstractNumId w:val="4"/>
  </w:num>
  <w:num w:numId="3" w16cid:durableId="326515554">
    <w:abstractNumId w:val="3"/>
  </w:num>
  <w:num w:numId="4" w16cid:durableId="919756009">
    <w:abstractNumId w:val="2"/>
  </w:num>
  <w:num w:numId="5" w16cid:durableId="213840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62"/>
    <w:rsid w:val="00040051"/>
    <w:rsid w:val="000B0846"/>
    <w:rsid w:val="000C2A7B"/>
    <w:rsid w:val="0010319C"/>
    <w:rsid w:val="00151407"/>
    <w:rsid w:val="001D4356"/>
    <w:rsid w:val="00253ED1"/>
    <w:rsid w:val="00262F7D"/>
    <w:rsid w:val="0026658B"/>
    <w:rsid w:val="00275C5F"/>
    <w:rsid w:val="00405E3A"/>
    <w:rsid w:val="004744E8"/>
    <w:rsid w:val="004934CF"/>
    <w:rsid w:val="004B4BB4"/>
    <w:rsid w:val="004C42D7"/>
    <w:rsid w:val="004F3D63"/>
    <w:rsid w:val="005242BB"/>
    <w:rsid w:val="00547A28"/>
    <w:rsid w:val="005913A0"/>
    <w:rsid w:val="005A082D"/>
    <w:rsid w:val="005A4C08"/>
    <w:rsid w:val="005C13FF"/>
    <w:rsid w:val="00640DD0"/>
    <w:rsid w:val="00670EC5"/>
    <w:rsid w:val="006A5F00"/>
    <w:rsid w:val="007203FD"/>
    <w:rsid w:val="00745543"/>
    <w:rsid w:val="007E613D"/>
    <w:rsid w:val="00817552"/>
    <w:rsid w:val="008A20D8"/>
    <w:rsid w:val="008B6BCA"/>
    <w:rsid w:val="008D6862"/>
    <w:rsid w:val="008F1301"/>
    <w:rsid w:val="00944407"/>
    <w:rsid w:val="00997412"/>
    <w:rsid w:val="009A31C1"/>
    <w:rsid w:val="009B2C03"/>
    <w:rsid w:val="00A66075"/>
    <w:rsid w:val="00A94593"/>
    <w:rsid w:val="00C30CC8"/>
    <w:rsid w:val="00C62C45"/>
    <w:rsid w:val="00CC3BDB"/>
    <w:rsid w:val="00E6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F482"/>
  <w15:chartTrackingRefBased/>
  <w15:docId w15:val="{8C06CB48-1216-42A2-B10B-8652183E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D7"/>
  </w:style>
  <w:style w:type="paragraph" w:styleId="Heading1">
    <w:name w:val="heading 1"/>
    <w:basedOn w:val="Normal"/>
    <w:next w:val="Normal"/>
    <w:link w:val="Heading1Char"/>
    <w:uiPriority w:val="9"/>
    <w:qFormat/>
    <w:rsid w:val="008D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862"/>
    <w:rPr>
      <w:rFonts w:eastAsiaTheme="majorEastAsia" w:cstheme="majorBidi"/>
      <w:color w:val="272727" w:themeColor="text1" w:themeTint="D8"/>
    </w:rPr>
  </w:style>
  <w:style w:type="paragraph" w:styleId="Title">
    <w:name w:val="Title"/>
    <w:basedOn w:val="Normal"/>
    <w:next w:val="Normal"/>
    <w:link w:val="TitleChar"/>
    <w:uiPriority w:val="10"/>
    <w:qFormat/>
    <w:rsid w:val="008D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862"/>
    <w:pPr>
      <w:spacing w:before="160"/>
      <w:jc w:val="center"/>
    </w:pPr>
    <w:rPr>
      <w:i/>
      <w:iCs/>
      <w:color w:val="404040" w:themeColor="text1" w:themeTint="BF"/>
    </w:rPr>
  </w:style>
  <w:style w:type="character" w:customStyle="1" w:styleId="QuoteChar">
    <w:name w:val="Quote Char"/>
    <w:basedOn w:val="DefaultParagraphFont"/>
    <w:link w:val="Quote"/>
    <w:uiPriority w:val="29"/>
    <w:rsid w:val="008D6862"/>
    <w:rPr>
      <w:i/>
      <w:iCs/>
      <w:color w:val="404040" w:themeColor="text1" w:themeTint="BF"/>
    </w:rPr>
  </w:style>
  <w:style w:type="paragraph" w:styleId="ListParagraph">
    <w:name w:val="List Paragraph"/>
    <w:basedOn w:val="Normal"/>
    <w:uiPriority w:val="34"/>
    <w:qFormat/>
    <w:rsid w:val="008D6862"/>
    <w:pPr>
      <w:ind w:left="720"/>
      <w:contextualSpacing/>
    </w:pPr>
  </w:style>
  <w:style w:type="character" w:styleId="IntenseEmphasis">
    <w:name w:val="Intense Emphasis"/>
    <w:basedOn w:val="DefaultParagraphFont"/>
    <w:uiPriority w:val="21"/>
    <w:qFormat/>
    <w:rsid w:val="008D6862"/>
    <w:rPr>
      <w:i/>
      <w:iCs/>
      <w:color w:val="0F4761" w:themeColor="accent1" w:themeShade="BF"/>
    </w:rPr>
  </w:style>
  <w:style w:type="paragraph" w:styleId="IntenseQuote">
    <w:name w:val="Intense Quote"/>
    <w:basedOn w:val="Normal"/>
    <w:next w:val="Normal"/>
    <w:link w:val="IntenseQuoteChar"/>
    <w:uiPriority w:val="30"/>
    <w:qFormat/>
    <w:rsid w:val="008D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862"/>
    <w:rPr>
      <w:i/>
      <w:iCs/>
      <w:color w:val="0F4761" w:themeColor="accent1" w:themeShade="BF"/>
    </w:rPr>
  </w:style>
  <w:style w:type="character" w:styleId="IntenseReference">
    <w:name w:val="Intense Reference"/>
    <w:basedOn w:val="DefaultParagraphFont"/>
    <w:uiPriority w:val="32"/>
    <w:qFormat/>
    <w:rsid w:val="008D6862"/>
    <w:rPr>
      <w:b/>
      <w:bCs/>
      <w:smallCaps/>
      <w:color w:val="0F4761" w:themeColor="accent1" w:themeShade="BF"/>
      <w:spacing w:val="5"/>
    </w:rPr>
  </w:style>
  <w:style w:type="paragraph" w:customStyle="1" w:styleId="SubHeading">
    <w:name w:val="SubHeading"/>
    <w:basedOn w:val="Heading3"/>
    <w:link w:val="SubHeadingChar"/>
    <w:qFormat/>
    <w:rsid w:val="004C42D7"/>
    <w:pPr>
      <w:spacing w:before="0" w:after="120"/>
      <w:jc w:val="both"/>
    </w:pPr>
    <w:rPr>
      <w:b/>
      <w:bCs/>
      <w:color w:val="000000" w:themeColor="text1"/>
    </w:rPr>
  </w:style>
  <w:style w:type="character" w:customStyle="1" w:styleId="SubHeadingChar">
    <w:name w:val="SubHeading Char"/>
    <w:basedOn w:val="Heading3Char"/>
    <w:link w:val="SubHeading"/>
    <w:rsid w:val="004C42D7"/>
    <w:rPr>
      <w:rFonts w:eastAsiaTheme="majorEastAsia" w:cstheme="majorBidi"/>
      <w:b/>
      <w:bCs/>
      <w:color w:val="000000" w:themeColor="text1"/>
      <w:sz w:val="28"/>
      <w:szCs w:val="28"/>
    </w:rPr>
  </w:style>
  <w:style w:type="paragraph" w:customStyle="1" w:styleId="HeadingBody">
    <w:name w:val="HeadingBody"/>
    <w:basedOn w:val="SubHeading"/>
    <w:link w:val="HeadingBodyChar"/>
    <w:qFormat/>
    <w:rsid w:val="004C42D7"/>
    <w:pPr>
      <w:numPr>
        <w:numId w:val="1"/>
      </w:numPr>
    </w:pPr>
    <w:rPr>
      <w:sz w:val="32"/>
    </w:rPr>
  </w:style>
  <w:style w:type="character" w:customStyle="1" w:styleId="HeadingBodyChar">
    <w:name w:val="HeadingBody Char"/>
    <w:basedOn w:val="SubHeadingChar"/>
    <w:link w:val="HeadingBody"/>
    <w:rsid w:val="004C42D7"/>
    <w:rPr>
      <w:rFonts w:eastAsiaTheme="majorEastAsia" w:cstheme="majorBidi"/>
      <w:b/>
      <w:bCs/>
      <w:color w:val="000000" w:themeColor="text1"/>
      <w:sz w:val="32"/>
      <w:szCs w:val="28"/>
    </w:rPr>
  </w:style>
  <w:style w:type="character" w:styleId="PlaceholderText">
    <w:name w:val="Placeholder Text"/>
    <w:basedOn w:val="DefaultParagraphFont"/>
    <w:uiPriority w:val="99"/>
    <w:semiHidden/>
    <w:rsid w:val="004C42D7"/>
    <w:rPr>
      <w:color w:val="666666"/>
    </w:rPr>
  </w:style>
  <w:style w:type="table" w:styleId="TableGrid">
    <w:name w:val="Table Grid"/>
    <w:basedOn w:val="TableNormal"/>
    <w:uiPriority w:val="39"/>
    <w:rsid w:val="009A3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4BB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4B4BB4"/>
    <w:pPr>
      <w:spacing w:after="100"/>
      <w:ind w:left="480"/>
    </w:pPr>
  </w:style>
  <w:style w:type="character" w:styleId="Hyperlink">
    <w:name w:val="Hyperlink"/>
    <w:basedOn w:val="DefaultParagraphFont"/>
    <w:uiPriority w:val="99"/>
    <w:unhideWhenUsed/>
    <w:rsid w:val="004B4BB4"/>
    <w:rPr>
      <w:color w:val="467886" w:themeColor="hyperlink"/>
      <w:u w:val="single"/>
    </w:rPr>
  </w:style>
  <w:style w:type="paragraph" w:styleId="FootnoteText">
    <w:name w:val="footnote text"/>
    <w:basedOn w:val="Normal"/>
    <w:link w:val="FootnoteTextChar"/>
    <w:uiPriority w:val="99"/>
    <w:semiHidden/>
    <w:unhideWhenUsed/>
    <w:rsid w:val="009974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7412"/>
    <w:rPr>
      <w:sz w:val="20"/>
      <w:szCs w:val="20"/>
    </w:rPr>
  </w:style>
  <w:style w:type="character" w:styleId="FootnoteReference">
    <w:name w:val="footnote reference"/>
    <w:basedOn w:val="DefaultParagraphFont"/>
    <w:uiPriority w:val="99"/>
    <w:semiHidden/>
    <w:unhideWhenUsed/>
    <w:rsid w:val="00997412"/>
    <w:rPr>
      <w:vertAlign w:val="superscript"/>
    </w:rPr>
  </w:style>
  <w:style w:type="paragraph" w:styleId="EndnoteText">
    <w:name w:val="endnote text"/>
    <w:basedOn w:val="Normal"/>
    <w:link w:val="EndnoteTextChar"/>
    <w:uiPriority w:val="99"/>
    <w:semiHidden/>
    <w:unhideWhenUsed/>
    <w:rsid w:val="0099741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412"/>
    <w:rPr>
      <w:sz w:val="20"/>
      <w:szCs w:val="20"/>
    </w:rPr>
  </w:style>
  <w:style w:type="character" w:styleId="EndnoteReference">
    <w:name w:val="endnote reference"/>
    <w:basedOn w:val="DefaultParagraphFont"/>
    <w:uiPriority w:val="99"/>
    <w:semiHidden/>
    <w:unhideWhenUsed/>
    <w:rsid w:val="00997412"/>
    <w:rPr>
      <w:vertAlign w:val="superscript"/>
    </w:rPr>
  </w:style>
  <w:style w:type="paragraph" w:styleId="Bibliography">
    <w:name w:val="Bibliography"/>
    <w:basedOn w:val="Normal"/>
    <w:next w:val="Normal"/>
    <w:uiPriority w:val="37"/>
    <w:unhideWhenUsed/>
    <w:rsid w:val="006A5F00"/>
  </w:style>
  <w:style w:type="paragraph" w:styleId="TOC1">
    <w:name w:val="toc 1"/>
    <w:basedOn w:val="Normal"/>
    <w:next w:val="Normal"/>
    <w:autoRedefine/>
    <w:uiPriority w:val="39"/>
    <w:unhideWhenUsed/>
    <w:rsid w:val="00547A2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3319">
      <w:bodyDiv w:val="1"/>
      <w:marLeft w:val="0"/>
      <w:marRight w:val="0"/>
      <w:marTop w:val="0"/>
      <w:marBottom w:val="0"/>
      <w:divBdr>
        <w:top w:val="none" w:sz="0" w:space="0" w:color="auto"/>
        <w:left w:val="none" w:sz="0" w:space="0" w:color="auto"/>
        <w:bottom w:val="none" w:sz="0" w:space="0" w:color="auto"/>
        <w:right w:val="none" w:sz="0" w:space="0" w:color="auto"/>
      </w:divBdr>
    </w:div>
    <w:div w:id="126555037">
      <w:bodyDiv w:val="1"/>
      <w:marLeft w:val="0"/>
      <w:marRight w:val="0"/>
      <w:marTop w:val="0"/>
      <w:marBottom w:val="0"/>
      <w:divBdr>
        <w:top w:val="none" w:sz="0" w:space="0" w:color="auto"/>
        <w:left w:val="none" w:sz="0" w:space="0" w:color="auto"/>
        <w:bottom w:val="none" w:sz="0" w:space="0" w:color="auto"/>
        <w:right w:val="none" w:sz="0" w:space="0" w:color="auto"/>
      </w:divBdr>
    </w:div>
    <w:div w:id="290285967">
      <w:bodyDiv w:val="1"/>
      <w:marLeft w:val="0"/>
      <w:marRight w:val="0"/>
      <w:marTop w:val="0"/>
      <w:marBottom w:val="0"/>
      <w:divBdr>
        <w:top w:val="none" w:sz="0" w:space="0" w:color="auto"/>
        <w:left w:val="none" w:sz="0" w:space="0" w:color="auto"/>
        <w:bottom w:val="none" w:sz="0" w:space="0" w:color="auto"/>
        <w:right w:val="none" w:sz="0" w:space="0" w:color="auto"/>
      </w:divBdr>
      <w:divsChild>
        <w:div w:id="2096170739">
          <w:marLeft w:val="0"/>
          <w:marRight w:val="0"/>
          <w:marTop w:val="0"/>
          <w:marBottom w:val="0"/>
          <w:divBdr>
            <w:top w:val="none" w:sz="0" w:space="0" w:color="auto"/>
            <w:left w:val="none" w:sz="0" w:space="0" w:color="auto"/>
            <w:bottom w:val="none" w:sz="0" w:space="0" w:color="auto"/>
            <w:right w:val="none" w:sz="0" w:space="0" w:color="auto"/>
          </w:divBdr>
          <w:divsChild>
            <w:div w:id="5510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8138">
      <w:bodyDiv w:val="1"/>
      <w:marLeft w:val="0"/>
      <w:marRight w:val="0"/>
      <w:marTop w:val="0"/>
      <w:marBottom w:val="0"/>
      <w:divBdr>
        <w:top w:val="none" w:sz="0" w:space="0" w:color="auto"/>
        <w:left w:val="none" w:sz="0" w:space="0" w:color="auto"/>
        <w:bottom w:val="none" w:sz="0" w:space="0" w:color="auto"/>
        <w:right w:val="none" w:sz="0" w:space="0" w:color="auto"/>
      </w:divBdr>
    </w:div>
    <w:div w:id="545142446">
      <w:bodyDiv w:val="1"/>
      <w:marLeft w:val="0"/>
      <w:marRight w:val="0"/>
      <w:marTop w:val="0"/>
      <w:marBottom w:val="0"/>
      <w:divBdr>
        <w:top w:val="none" w:sz="0" w:space="0" w:color="auto"/>
        <w:left w:val="none" w:sz="0" w:space="0" w:color="auto"/>
        <w:bottom w:val="none" w:sz="0" w:space="0" w:color="auto"/>
        <w:right w:val="none" w:sz="0" w:space="0" w:color="auto"/>
      </w:divBdr>
    </w:div>
    <w:div w:id="553736438">
      <w:bodyDiv w:val="1"/>
      <w:marLeft w:val="0"/>
      <w:marRight w:val="0"/>
      <w:marTop w:val="0"/>
      <w:marBottom w:val="0"/>
      <w:divBdr>
        <w:top w:val="none" w:sz="0" w:space="0" w:color="auto"/>
        <w:left w:val="none" w:sz="0" w:space="0" w:color="auto"/>
        <w:bottom w:val="none" w:sz="0" w:space="0" w:color="auto"/>
        <w:right w:val="none" w:sz="0" w:space="0" w:color="auto"/>
      </w:divBdr>
    </w:div>
    <w:div w:id="644434640">
      <w:bodyDiv w:val="1"/>
      <w:marLeft w:val="0"/>
      <w:marRight w:val="0"/>
      <w:marTop w:val="0"/>
      <w:marBottom w:val="0"/>
      <w:divBdr>
        <w:top w:val="none" w:sz="0" w:space="0" w:color="auto"/>
        <w:left w:val="none" w:sz="0" w:space="0" w:color="auto"/>
        <w:bottom w:val="none" w:sz="0" w:space="0" w:color="auto"/>
        <w:right w:val="none" w:sz="0" w:space="0" w:color="auto"/>
      </w:divBdr>
    </w:div>
    <w:div w:id="660425167">
      <w:bodyDiv w:val="1"/>
      <w:marLeft w:val="0"/>
      <w:marRight w:val="0"/>
      <w:marTop w:val="0"/>
      <w:marBottom w:val="0"/>
      <w:divBdr>
        <w:top w:val="none" w:sz="0" w:space="0" w:color="auto"/>
        <w:left w:val="none" w:sz="0" w:space="0" w:color="auto"/>
        <w:bottom w:val="none" w:sz="0" w:space="0" w:color="auto"/>
        <w:right w:val="none" w:sz="0" w:space="0" w:color="auto"/>
      </w:divBdr>
    </w:div>
    <w:div w:id="873420176">
      <w:bodyDiv w:val="1"/>
      <w:marLeft w:val="0"/>
      <w:marRight w:val="0"/>
      <w:marTop w:val="0"/>
      <w:marBottom w:val="0"/>
      <w:divBdr>
        <w:top w:val="none" w:sz="0" w:space="0" w:color="auto"/>
        <w:left w:val="none" w:sz="0" w:space="0" w:color="auto"/>
        <w:bottom w:val="none" w:sz="0" w:space="0" w:color="auto"/>
        <w:right w:val="none" w:sz="0" w:space="0" w:color="auto"/>
      </w:divBdr>
      <w:divsChild>
        <w:div w:id="412161725">
          <w:marLeft w:val="0"/>
          <w:marRight w:val="0"/>
          <w:marTop w:val="0"/>
          <w:marBottom w:val="0"/>
          <w:divBdr>
            <w:top w:val="none" w:sz="0" w:space="0" w:color="auto"/>
            <w:left w:val="none" w:sz="0" w:space="0" w:color="auto"/>
            <w:bottom w:val="none" w:sz="0" w:space="0" w:color="auto"/>
            <w:right w:val="none" w:sz="0" w:space="0" w:color="auto"/>
          </w:divBdr>
        </w:div>
        <w:div w:id="1470129586">
          <w:marLeft w:val="0"/>
          <w:marRight w:val="0"/>
          <w:marTop w:val="0"/>
          <w:marBottom w:val="0"/>
          <w:divBdr>
            <w:top w:val="none" w:sz="0" w:space="0" w:color="auto"/>
            <w:left w:val="none" w:sz="0" w:space="0" w:color="auto"/>
            <w:bottom w:val="none" w:sz="0" w:space="0" w:color="auto"/>
            <w:right w:val="none" w:sz="0" w:space="0" w:color="auto"/>
          </w:divBdr>
        </w:div>
        <w:div w:id="294651860">
          <w:marLeft w:val="0"/>
          <w:marRight w:val="0"/>
          <w:marTop w:val="0"/>
          <w:marBottom w:val="0"/>
          <w:divBdr>
            <w:top w:val="none" w:sz="0" w:space="0" w:color="auto"/>
            <w:left w:val="none" w:sz="0" w:space="0" w:color="auto"/>
            <w:bottom w:val="none" w:sz="0" w:space="0" w:color="auto"/>
            <w:right w:val="none" w:sz="0" w:space="0" w:color="auto"/>
          </w:divBdr>
        </w:div>
        <w:div w:id="1619990140">
          <w:marLeft w:val="0"/>
          <w:marRight w:val="0"/>
          <w:marTop w:val="0"/>
          <w:marBottom w:val="0"/>
          <w:divBdr>
            <w:top w:val="none" w:sz="0" w:space="0" w:color="auto"/>
            <w:left w:val="none" w:sz="0" w:space="0" w:color="auto"/>
            <w:bottom w:val="none" w:sz="0" w:space="0" w:color="auto"/>
            <w:right w:val="none" w:sz="0" w:space="0" w:color="auto"/>
          </w:divBdr>
        </w:div>
        <w:div w:id="367292167">
          <w:marLeft w:val="0"/>
          <w:marRight w:val="0"/>
          <w:marTop w:val="0"/>
          <w:marBottom w:val="0"/>
          <w:divBdr>
            <w:top w:val="none" w:sz="0" w:space="0" w:color="auto"/>
            <w:left w:val="none" w:sz="0" w:space="0" w:color="auto"/>
            <w:bottom w:val="none" w:sz="0" w:space="0" w:color="auto"/>
            <w:right w:val="none" w:sz="0" w:space="0" w:color="auto"/>
          </w:divBdr>
        </w:div>
        <w:div w:id="465466407">
          <w:marLeft w:val="0"/>
          <w:marRight w:val="0"/>
          <w:marTop w:val="0"/>
          <w:marBottom w:val="0"/>
          <w:divBdr>
            <w:top w:val="none" w:sz="0" w:space="0" w:color="auto"/>
            <w:left w:val="none" w:sz="0" w:space="0" w:color="auto"/>
            <w:bottom w:val="none" w:sz="0" w:space="0" w:color="auto"/>
            <w:right w:val="none" w:sz="0" w:space="0" w:color="auto"/>
          </w:divBdr>
        </w:div>
        <w:div w:id="661927139">
          <w:marLeft w:val="0"/>
          <w:marRight w:val="0"/>
          <w:marTop w:val="0"/>
          <w:marBottom w:val="0"/>
          <w:divBdr>
            <w:top w:val="none" w:sz="0" w:space="0" w:color="auto"/>
            <w:left w:val="none" w:sz="0" w:space="0" w:color="auto"/>
            <w:bottom w:val="none" w:sz="0" w:space="0" w:color="auto"/>
            <w:right w:val="none" w:sz="0" w:space="0" w:color="auto"/>
          </w:divBdr>
        </w:div>
        <w:div w:id="14425209">
          <w:marLeft w:val="0"/>
          <w:marRight w:val="0"/>
          <w:marTop w:val="0"/>
          <w:marBottom w:val="0"/>
          <w:divBdr>
            <w:top w:val="none" w:sz="0" w:space="0" w:color="auto"/>
            <w:left w:val="none" w:sz="0" w:space="0" w:color="auto"/>
            <w:bottom w:val="none" w:sz="0" w:space="0" w:color="auto"/>
            <w:right w:val="none" w:sz="0" w:space="0" w:color="auto"/>
          </w:divBdr>
        </w:div>
        <w:div w:id="1431707063">
          <w:marLeft w:val="0"/>
          <w:marRight w:val="0"/>
          <w:marTop w:val="0"/>
          <w:marBottom w:val="0"/>
          <w:divBdr>
            <w:top w:val="none" w:sz="0" w:space="0" w:color="auto"/>
            <w:left w:val="none" w:sz="0" w:space="0" w:color="auto"/>
            <w:bottom w:val="none" w:sz="0" w:space="0" w:color="auto"/>
            <w:right w:val="none" w:sz="0" w:space="0" w:color="auto"/>
          </w:divBdr>
        </w:div>
        <w:div w:id="1998026007">
          <w:marLeft w:val="0"/>
          <w:marRight w:val="0"/>
          <w:marTop w:val="0"/>
          <w:marBottom w:val="0"/>
          <w:divBdr>
            <w:top w:val="none" w:sz="0" w:space="0" w:color="auto"/>
            <w:left w:val="none" w:sz="0" w:space="0" w:color="auto"/>
            <w:bottom w:val="none" w:sz="0" w:space="0" w:color="auto"/>
            <w:right w:val="none" w:sz="0" w:space="0" w:color="auto"/>
          </w:divBdr>
        </w:div>
        <w:div w:id="650328364">
          <w:marLeft w:val="0"/>
          <w:marRight w:val="0"/>
          <w:marTop w:val="0"/>
          <w:marBottom w:val="0"/>
          <w:divBdr>
            <w:top w:val="none" w:sz="0" w:space="0" w:color="auto"/>
            <w:left w:val="none" w:sz="0" w:space="0" w:color="auto"/>
            <w:bottom w:val="none" w:sz="0" w:space="0" w:color="auto"/>
            <w:right w:val="none" w:sz="0" w:space="0" w:color="auto"/>
          </w:divBdr>
        </w:div>
        <w:div w:id="1252549192">
          <w:marLeft w:val="0"/>
          <w:marRight w:val="0"/>
          <w:marTop w:val="0"/>
          <w:marBottom w:val="0"/>
          <w:divBdr>
            <w:top w:val="none" w:sz="0" w:space="0" w:color="auto"/>
            <w:left w:val="none" w:sz="0" w:space="0" w:color="auto"/>
            <w:bottom w:val="none" w:sz="0" w:space="0" w:color="auto"/>
            <w:right w:val="none" w:sz="0" w:space="0" w:color="auto"/>
          </w:divBdr>
          <w:divsChild>
            <w:div w:id="1896576354">
              <w:marLeft w:val="0"/>
              <w:marRight w:val="0"/>
              <w:marTop w:val="0"/>
              <w:marBottom w:val="0"/>
              <w:divBdr>
                <w:top w:val="none" w:sz="0" w:space="0" w:color="auto"/>
                <w:left w:val="none" w:sz="0" w:space="0" w:color="auto"/>
                <w:bottom w:val="none" w:sz="0" w:space="0" w:color="auto"/>
                <w:right w:val="none" w:sz="0" w:space="0" w:color="auto"/>
              </w:divBdr>
            </w:div>
            <w:div w:id="1316107535">
              <w:marLeft w:val="0"/>
              <w:marRight w:val="0"/>
              <w:marTop w:val="0"/>
              <w:marBottom w:val="0"/>
              <w:divBdr>
                <w:top w:val="none" w:sz="0" w:space="0" w:color="auto"/>
                <w:left w:val="none" w:sz="0" w:space="0" w:color="auto"/>
                <w:bottom w:val="none" w:sz="0" w:space="0" w:color="auto"/>
                <w:right w:val="none" w:sz="0" w:space="0" w:color="auto"/>
              </w:divBdr>
            </w:div>
            <w:div w:id="94713410">
              <w:marLeft w:val="0"/>
              <w:marRight w:val="0"/>
              <w:marTop w:val="0"/>
              <w:marBottom w:val="0"/>
              <w:divBdr>
                <w:top w:val="none" w:sz="0" w:space="0" w:color="auto"/>
                <w:left w:val="none" w:sz="0" w:space="0" w:color="auto"/>
                <w:bottom w:val="none" w:sz="0" w:space="0" w:color="auto"/>
                <w:right w:val="none" w:sz="0" w:space="0" w:color="auto"/>
              </w:divBdr>
            </w:div>
            <w:div w:id="454718005">
              <w:marLeft w:val="0"/>
              <w:marRight w:val="0"/>
              <w:marTop w:val="0"/>
              <w:marBottom w:val="0"/>
              <w:divBdr>
                <w:top w:val="none" w:sz="0" w:space="0" w:color="auto"/>
                <w:left w:val="none" w:sz="0" w:space="0" w:color="auto"/>
                <w:bottom w:val="none" w:sz="0" w:space="0" w:color="auto"/>
                <w:right w:val="none" w:sz="0" w:space="0" w:color="auto"/>
              </w:divBdr>
            </w:div>
            <w:div w:id="379061585">
              <w:marLeft w:val="0"/>
              <w:marRight w:val="0"/>
              <w:marTop w:val="0"/>
              <w:marBottom w:val="0"/>
              <w:divBdr>
                <w:top w:val="none" w:sz="0" w:space="0" w:color="auto"/>
                <w:left w:val="none" w:sz="0" w:space="0" w:color="auto"/>
                <w:bottom w:val="none" w:sz="0" w:space="0" w:color="auto"/>
                <w:right w:val="none" w:sz="0" w:space="0" w:color="auto"/>
              </w:divBdr>
            </w:div>
            <w:div w:id="2081711476">
              <w:marLeft w:val="0"/>
              <w:marRight w:val="0"/>
              <w:marTop w:val="0"/>
              <w:marBottom w:val="0"/>
              <w:divBdr>
                <w:top w:val="none" w:sz="0" w:space="0" w:color="auto"/>
                <w:left w:val="none" w:sz="0" w:space="0" w:color="auto"/>
                <w:bottom w:val="none" w:sz="0" w:space="0" w:color="auto"/>
                <w:right w:val="none" w:sz="0" w:space="0" w:color="auto"/>
              </w:divBdr>
            </w:div>
            <w:div w:id="897209652">
              <w:marLeft w:val="0"/>
              <w:marRight w:val="0"/>
              <w:marTop w:val="0"/>
              <w:marBottom w:val="0"/>
              <w:divBdr>
                <w:top w:val="none" w:sz="0" w:space="0" w:color="auto"/>
                <w:left w:val="none" w:sz="0" w:space="0" w:color="auto"/>
                <w:bottom w:val="none" w:sz="0" w:space="0" w:color="auto"/>
                <w:right w:val="none" w:sz="0" w:space="0" w:color="auto"/>
              </w:divBdr>
            </w:div>
            <w:div w:id="1308972877">
              <w:marLeft w:val="0"/>
              <w:marRight w:val="0"/>
              <w:marTop w:val="0"/>
              <w:marBottom w:val="0"/>
              <w:divBdr>
                <w:top w:val="none" w:sz="0" w:space="0" w:color="auto"/>
                <w:left w:val="none" w:sz="0" w:space="0" w:color="auto"/>
                <w:bottom w:val="none" w:sz="0" w:space="0" w:color="auto"/>
                <w:right w:val="none" w:sz="0" w:space="0" w:color="auto"/>
              </w:divBdr>
            </w:div>
            <w:div w:id="996999496">
              <w:marLeft w:val="0"/>
              <w:marRight w:val="0"/>
              <w:marTop w:val="0"/>
              <w:marBottom w:val="0"/>
              <w:divBdr>
                <w:top w:val="none" w:sz="0" w:space="0" w:color="auto"/>
                <w:left w:val="none" w:sz="0" w:space="0" w:color="auto"/>
                <w:bottom w:val="none" w:sz="0" w:space="0" w:color="auto"/>
                <w:right w:val="none" w:sz="0" w:space="0" w:color="auto"/>
              </w:divBdr>
            </w:div>
            <w:div w:id="1011759924">
              <w:marLeft w:val="0"/>
              <w:marRight w:val="0"/>
              <w:marTop w:val="0"/>
              <w:marBottom w:val="0"/>
              <w:divBdr>
                <w:top w:val="none" w:sz="0" w:space="0" w:color="auto"/>
                <w:left w:val="none" w:sz="0" w:space="0" w:color="auto"/>
                <w:bottom w:val="none" w:sz="0" w:space="0" w:color="auto"/>
                <w:right w:val="none" w:sz="0" w:space="0" w:color="auto"/>
              </w:divBdr>
            </w:div>
          </w:divsChild>
        </w:div>
        <w:div w:id="33118846">
          <w:marLeft w:val="0"/>
          <w:marRight w:val="0"/>
          <w:marTop w:val="0"/>
          <w:marBottom w:val="0"/>
          <w:divBdr>
            <w:top w:val="none" w:sz="0" w:space="0" w:color="auto"/>
            <w:left w:val="none" w:sz="0" w:space="0" w:color="auto"/>
            <w:bottom w:val="none" w:sz="0" w:space="0" w:color="auto"/>
            <w:right w:val="none" w:sz="0" w:space="0" w:color="auto"/>
          </w:divBdr>
        </w:div>
        <w:div w:id="656230623">
          <w:marLeft w:val="0"/>
          <w:marRight w:val="0"/>
          <w:marTop w:val="0"/>
          <w:marBottom w:val="0"/>
          <w:divBdr>
            <w:top w:val="none" w:sz="0" w:space="0" w:color="auto"/>
            <w:left w:val="none" w:sz="0" w:space="0" w:color="auto"/>
            <w:bottom w:val="none" w:sz="0" w:space="0" w:color="auto"/>
            <w:right w:val="none" w:sz="0" w:space="0" w:color="auto"/>
          </w:divBdr>
        </w:div>
        <w:div w:id="557277495">
          <w:marLeft w:val="0"/>
          <w:marRight w:val="0"/>
          <w:marTop w:val="0"/>
          <w:marBottom w:val="0"/>
          <w:divBdr>
            <w:top w:val="none" w:sz="0" w:space="0" w:color="auto"/>
            <w:left w:val="none" w:sz="0" w:space="0" w:color="auto"/>
            <w:bottom w:val="none" w:sz="0" w:space="0" w:color="auto"/>
            <w:right w:val="none" w:sz="0" w:space="0" w:color="auto"/>
          </w:divBdr>
        </w:div>
        <w:div w:id="712774992">
          <w:marLeft w:val="0"/>
          <w:marRight w:val="0"/>
          <w:marTop w:val="0"/>
          <w:marBottom w:val="0"/>
          <w:divBdr>
            <w:top w:val="none" w:sz="0" w:space="0" w:color="auto"/>
            <w:left w:val="none" w:sz="0" w:space="0" w:color="auto"/>
            <w:bottom w:val="none" w:sz="0" w:space="0" w:color="auto"/>
            <w:right w:val="none" w:sz="0" w:space="0" w:color="auto"/>
          </w:divBdr>
        </w:div>
        <w:div w:id="1017390353">
          <w:marLeft w:val="0"/>
          <w:marRight w:val="0"/>
          <w:marTop w:val="0"/>
          <w:marBottom w:val="0"/>
          <w:divBdr>
            <w:top w:val="none" w:sz="0" w:space="0" w:color="auto"/>
            <w:left w:val="none" w:sz="0" w:space="0" w:color="auto"/>
            <w:bottom w:val="none" w:sz="0" w:space="0" w:color="auto"/>
            <w:right w:val="none" w:sz="0" w:space="0" w:color="auto"/>
          </w:divBdr>
        </w:div>
        <w:div w:id="570391835">
          <w:marLeft w:val="0"/>
          <w:marRight w:val="0"/>
          <w:marTop w:val="0"/>
          <w:marBottom w:val="0"/>
          <w:divBdr>
            <w:top w:val="none" w:sz="0" w:space="0" w:color="auto"/>
            <w:left w:val="none" w:sz="0" w:space="0" w:color="auto"/>
            <w:bottom w:val="none" w:sz="0" w:space="0" w:color="auto"/>
            <w:right w:val="none" w:sz="0" w:space="0" w:color="auto"/>
          </w:divBdr>
        </w:div>
        <w:div w:id="884950698">
          <w:marLeft w:val="0"/>
          <w:marRight w:val="0"/>
          <w:marTop w:val="0"/>
          <w:marBottom w:val="0"/>
          <w:divBdr>
            <w:top w:val="none" w:sz="0" w:space="0" w:color="auto"/>
            <w:left w:val="none" w:sz="0" w:space="0" w:color="auto"/>
            <w:bottom w:val="none" w:sz="0" w:space="0" w:color="auto"/>
            <w:right w:val="none" w:sz="0" w:space="0" w:color="auto"/>
          </w:divBdr>
        </w:div>
        <w:div w:id="242110494">
          <w:marLeft w:val="0"/>
          <w:marRight w:val="0"/>
          <w:marTop w:val="0"/>
          <w:marBottom w:val="0"/>
          <w:divBdr>
            <w:top w:val="none" w:sz="0" w:space="0" w:color="auto"/>
            <w:left w:val="none" w:sz="0" w:space="0" w:color="auto"/>
            <w:bottom w:val="none" w:sz="0" w:space="0" w:color="auto"/>
            <w:right w:val="none" w:sz="0" w:space="0" w:color="auto"/>
          </w:divBdr>
        </w:div>
        <w:div w:id="991642557">
          <w:marLeft w:val="0"/>
          <w:marRight w:val="0"/>
          <w:marTop w:val="0"/>
          <w:marBottom w:val="0"/>
          <w:divBdr>
            <w:top w:val="none" w:sz="0" w:space="0" w:color="auto"/>
            <w:left w:val="none" w:sz="0" w:space="0" w:color="auto"/>
            <w:bottom w:val="none" w:sz="0" w:space="0" w:color="auto"/>
            <w:right w:val="none" w:sz="0" w:space="0" w:color="auto"/>
          </w:divBdr>
        </w:div>
        <w:div w:id="1138113505">
          <w:marLeft w:val="0"/>
          <w:marRight w:val="0"/>
          <w:marTop w:val="0"/>
          <w:marBottom w:val="0"/>
          <w:divBdr>
            <w:top w:val="none" w:sz="0" w:space="0" w:color="auto"/>
            <w:left w:val="none" w:sz="0" w:space="0" w:color="auto"/>
            <w:bottom w:val="none" w:sz="0" w:space="0" w:color="auto"/>
            <w:right w:val="none" w:sz="0" w:space="0" w:color="auto"/>
          </w:divBdr>
        </w:div>
        <w:div w:id="1401293436">
          <w:marLeft w:val="0"/>
          <w:marRight w:val="0"/>
          <w:marTop w:val="0"/>
          <w:marBottom w:val="0"/>
          <w:divBdr>
            <w:top w:val="none" w:sz="0" w:space="0" w:color="auto"/>
            <w:left w:val="none" w:sz="0" w:space="0" w:color="auto"/>
            <w:bottom w:val="none" w:sz="0" w:space="0" w:color="auto"/>
            <w:right w:val="none" w:sz="0" w:space="0" w:color="auto"/>
          </w:divBdr>
        </w:div>
        <w:div w:id="1226531514">
          <w:marLeft w:val="0"/>
          <w:marRight w:val="0"/>
          <w:marTop w:val="0"/>
          <w:marBottom w:val="0"/>
          <w:divBdr>
            <w:top w:val="none" w:sz="0" w:space="0" w:color="auto"/>
            <w:left w:val="none" w:sz="0" w:space="0" w:color="auto"/>
            <w:bottom w:val="none" w:sz="0" w:space="0" w:color="auto"/>
            <w:right w:val="none" w:sz="0" w:space="0" w:color="auto"/>
          </w:divBdr>
        </w:div>
        <w:div w:id="754939490">
          <w:marLeft w:val="0"/>
          <w:marRight w:val="0"/>
          <w:marTop w:val="0"/>
          <w:marBottom w:val="0"/>
          <w:divBdr>
            <w:top w:val="none" w:sz="0" w:space="0" w:color="auto"/>
            <w:left w:val="none" w:sz="0" w:space="0" w:color="auto"/>
            <w:bottom w:val="none" w:sz="0" w:space="0" w:color="auto"/>
            <w:right w:val="none" w:sz="0" w:space="0" w:color="auto"/>
          </w:divBdr>
        </w:div>
        <w:div w:id="1049571061">
          <w:marLeft w:val="0"/>
          <w:marRight w:val="0"/>
          <w:marTop w:val="0"/>
          <w:marBottom w:val="0"/>
          <w:divBdr>
            <w:top w:val="none" w:sz="0" w:space="0" w:color="auto"/>
            <w:left w:val="none" w:sz="0" w:space="0" w:color="auto"/>
            <w:bottom w:val="none" w:sz="0" w:space="0" w:color="auto"/>
            <w:right w:val="none" w:sz="0" w:space="0" w:color="auto"/>
          </w:divBdr>
        </w:div>
        <w:div w:id="1988896030">
          <w:marLeft w:val="0"/>
          <w:marRight w:val="0"/>
          <w:marTop w:val="0"/>
          <w:marBottom w:val="0"/>
          <w:divBdr>
            <w:top w:val="none" w:sz="0" w:space="0" w:color="auto"/>
            <w:left w:val="none" w:sz="0" w:space="0" w:color="auto"/>
            <w:bottom w:val="none" w:sz="0" w:space="0" w:color="auto"/>
            <w:right w:val="none" w:sz="0" w:space="0" w:color="auto"/>
          </w:divBdr>
        </w:div>
        <w:div w:id="302739138">
          <w:marLeft w:val="0"/>
          <w:marRight w:val="0"/>
          <w:marTop w:val="0"/>
          <w:marBottom w:val="0"/>
          <w:divBdr>
            <w:top w:val="none" w:sz="0" w:space="0" w:color="auto"/>
            <w:left w:val="none" w:sz="0" w:space="0" w:color="auto"/>
            <w:bottom w:val="none" w:sz="0" w:space="0" w:color="auto"/>
            <w:right w:val="none" w:sz="0" w:space="0" w:color="auto"/>
          </w:divBdr>
        </w:div>
        <w:div w:id="659576575">
          <w:marLeft w:val="0"/>
          <w:marRight w:val="0"/>
          <w:marTop w:val="0"/>
          <w:marBottom w:val="0"/>
          <w:divBdr>
            <w:top w:val="none" w:sz="0" w:space="0" w:color="auto"/>
            <w:left w:val="none" w:sz="0" w:space="0" w:color="auto"/>
            <w:bottom w:val="none" w:sz="0" w:space="0" w:color="auto"/>
            <w:right w:val="none" w:sz="0" w:space="0" w:color="auto"/>
          </w:divBdr>
        </w:div>
        <w:div w:id="571476393">
          <w:marLeft w:val="0"/>
          <w:marRight w:val="0"/>
          <w:marTop w:val="0"/>
          <w:marBottom w:val="0"/>
          <w:divBdr>
            <w:top w:val="none" w:sz="0" w:space="0" w:color="auto"/>
            <w:left w:val="none" w:sz="0" w:space="0" w:color="auto"/>
            <w:bottom w:val="none" w:sz="0" w:space="0" w:color="auto"/>
            <w:right w:val="none" w:sz="0" w:space="0" w:color="auto"/>
          </w:divBdr>
        </w:div>
        <w:div w:id="734668563">
          <w:marLeft w:val="0"/>
          <w:marRight w:val="0"/>
          <w:marTop w:val="0"/>
          <w:marBottom w:val="0"/>
          <w:divBdr>
            <w:top w:val="none" w:sz="0" w:space="0" w:color="auto"/>
            <w:left w:val="none" w:sz="0" w:space="0" w:color="auto"/>
            <w:bottom w:val="none" w:sz="0" w:space="0" w:color="auto"/>
            <w:right w:val="none" w:sz="0" w:space="0" w:color="auto"/>
          </w:divBdr>
        </w:div>
        <w:div w:id="458302846">
          <w:marLeft w:val="0"/>
          <w:marRight w:val="0"/>
          <w:marTop w:val="0"/>
          <w:marBottom w:val="0"/>
          <w:divBdr>
            <w:top w:val="none" w:sz="0" w:space="0" w:color="auto"/>
            <w:left w:val="none" w:sz="0" w:space="0" w:color="auto"/>
            <w:bottom w:val="none" w:sz="0" w:space="0" w:color="auto"/>
            <w:right w:val="none" w:sz="0" w:space="0" w:color="auto"/>
          </w:divBdr>
        </w:div>
        <w:div w:id="1397824167">
          <w:marLeft w:val="0"/>
          <w:marRight w:val="0"/>
          <w:marTop w:val="0"/>
          <w:marBottom w:val="0"/>
          <w:divBdr>
            <w:top w:val="none" w:sz="0" w:space="0" w:color="auto"/>
            <w:left w:val="none" w:sz="0" w:space="0" w:color="auto"/>
            <w:bottom w:val="none" w:sz="0" w:space="0" w:color="auto"/>
            <w:right w:val="none" w:sz="0" w:space="0" w:color="auto"/>
          </w:divBdr>
        </w:div>
        <w:div w:id="2124107444">
          <w:marLeft w:val="0"/>
          <w:marRight w:val="0"/>
          <w:marTop w:val="0"/>
          <w:marBottom w:val="0"/>
          <w:divBdr>
            <w:top w:val="none" w:sz="0" w:space="0" w:color="auto"/>
            <w:left w:val="none" w:sz="0" w:space="0" w:color="auto"/>
            <w:bottom w:val="none" w:sz="0" w:space="0" w:color="auto"/>
            <w:right w:val="none" w:sz="0" w:space="0" w:color="auto"/>
          </w:divBdr>
        </w:div>
        <w:div w:id="1581480090">
          <w:marLeft w:val="0"/>
          <w:marRight w:val="0"/>
          <w:marTop w:val="0"/>
          <w:marBottom w:val="0"/>
          <w:divBdr>
            <w:top w:val="none" w:sz="0" w:space="0" w:color="auto"/>
            <w:left w:val="none" w:sz="0" w:space="0" w:color="auto"/>
            <w:bottom w:val="none" w:sz="0" w:space="0" w:color="auto"/>
            <w:right w:val="none" w:sz="0" w:space="0" w:color="auto"/>
          </w:divBdr>
        </w:div>
        <w:div w:id="1340502627">
          <w:marLeft w:val="0"/>
          <w:marRight w:val="0"/>
          <w:marTop w:val="0"/>
          <w:marBottom w:val="0"/>
          <w:divBdr>
            <w:top w:val="none" w:sz="0" w:space="0" w:color="auto"/>
            <w:left w:val="none" w:sz="0" w:space="0" w:color="auto"/>
            <w:bottom w:val="none" w:sz="0" w:space="0" w:color="auto"/>
            <w:right w:val="none" w:sz="0" w:space="0" w:color="auto"/>
          </w:divBdr>
        </w:div>
        <w:div w:id="2045016751">
          <w:marLeft w:val="0"/>
          <w:marRight w:val="0"/>
          <w:marTop w:val="0"/>
          <w:marBottom w:val="0"/>
          <w:divBdr>
            <w:top w:val="none" w:sz="0" w:space="0" w:color="auto"/>
            <w:left w:val="none" w:sz="0" w:space="0" w:color="auto"/>
            <w:bottom w:val="none" w:sz="0" w:space="0" w:color="auto"/>
            <w:right w:val="none" w:sz="0" w:space="0" w:color="auto"/>
          </w:divBdr>
        </w:div>
      </w:divsChild>
    </w:div>
    <w:div w:id="904990322">
      <w:bodyDiv w:val="1"/>
      <w:marLeft w:val="0"/>
      <w:marRight w:val="0"/>
      <w:marTop w:val="0"/>
      <w:marBottom w:val="0"/>
      <w:divBdr>
        <w:top w:val="none" w:sz="0" w:space="0" w:color="auto"/>
        <w:left w:val="none" w:sz="0" w:space="0" w:color="auto"/>
        <w:bottom w:val="none" w:sz="0" w:space="0" w:color="auto"/>
        <w:right w:val="none" w:sz="0" w:space="0" w:color="auto"/>
      </w:divBdr>
    </w:div>
    <w:div w:id="1460877040">
      <w:bodyDiv w:val="1"/>
      <w:marLeft w:val="0"/>
      <w:marRight w:val="0"/>
      <w:marTop w:val="0"/>
      <w:marBottom w:val="0"/>
      <w:divBdr>
        <w:top w:val="none" w:sz="0" w:space="0" w:color="auto"/>
        <w:left w:val="none" w:sz="0" w:space="0" w:color="auto"/>
        <w:bottom w:val="none" w:sz="0" w:space="0" w:color="auto"/>
        <w:right w:val="none" w:sz="0" w:space="0" w:color="auto"/>
      </w:divBdr>
    </w:div>
    <w:div w:id="1470436845">
      <w:bodyDiv w:val="1"/>
      <w:marLeft w:val="0"/>
      <w:marRight w:val="0"/>
      <w:marTop w:val="0"/>
      <w:marBottom w:val="0"/>
      <w:divBdr>
        <w:top w:val="none" w:sz="0" w:space="0" w:color="auto"/>
        <w:left w:val="none" w:sz="0" w:space="0" w:color="auto"/>
        <w:bottom w:val="none" w:sz="0" w:space="0" w:color="auto"/>
        <w:right w:val="none" w:sz="0" w:space="0" w:color="auto"/>
      </w:divBdr>
    </w:div>
    <w:div w:id="1475025241">
      <w:bodyDiv w:val="1"/>
      <w:marLeft w:val="0"/>
      <w:marRight w:val="0"/>
      <w:marTop w:val="0"/>
      <w:marBottom w:val="0"/>
      <w:divBdr>
        <w:top w:val="none" w:sz="0" w:space="0" w:color="auto"/>
        <w:left w:val="none" w:sz="0" w:space="0" w:color="auto"/>
        <w:bottom w:val="none" w:sz="0" w:space="0" w:color="auto"/>
        <w:right w:val="none" w:sz="0" w:space="0" w:color="auto"/>
      </w:divBdr>
    </w:div>
    <w:div w:id="1535732228">
      <w:bodyDiv w:val="1"/>
      <w:marLeft w:val="0"/>
      <w:marRight w:val="0"/>
      <w:marTop w:val="0"/>
      <w:marBottom w:val="0"/>
      <w:divBdr>
        <w:top w:val="none" w:sz="0" w:space="0" w:color="auto"/>
        <w:left w:val="none" w:sz="0" w:space="0" w:color="auto"/>
        <w:bottom w:val="none" w:sz="0" w:space="0" w:color="auto"/>
        <w:right w:val="none" w:sz="0" w:space="0" w:color="auto"/>
      </w:divBdr>
    </w:div>
    <w:div w:id="1604990374">
      <w:bodyDiv w:val="1"/>
      <w:marLeft w:val="0"/>
      <w:marRight w:val="0"/>
      <w:marTop w:val="0"/>
      <w:marBottom w:val="0"/>
      <w:divBdr>
        <w:top w:val="none" w:sz="0" w:space="0" w:color="auto"/>
        <w:left w:val="none" w:sz="0" w:space="0" w:color="auto"/>
        <w:bottom w:val="none" w:sz="0" w:space="0" w:color="auto"/>
        <w:right w:val="none" w:sz="0" w:space="0" w:color="auto"/>
      </w:divBdr>
    </w:div>
    <w:div w:id="1740250507">
      <w:bodyDiv w:val="1"/>
      <w:marLeft w:val="0"/>
      <w:marRight w:val="0"/>
      <w:marTop w:val="0"/>
      <w:marBottom w:val="0"/>
      <w:divBdr>
        <w:top w:val="none" w:sz="0" w:space="0" w:color="auto"/>
        <w:left w:val="none" w:sz="0" w:space="0" w:color="auto"/>
        <w:bottom w:val="none" w:sz="0" w:space="0" w:color="auto"/>
        <w:right w:val="none" w:sz="0" w:space="0" w:color="auto"/>
      </w:divBdr>
    </w:div>
    <w:div w:id="1817336007">
      <w:bodyDiv w:val="1"/>
      <w:marLeft w:val="0"/>
      <w:marRight w:val="0"/>
      <w:marTop w:val="0"/>
      <w:marBottom w:val="0"/>
      <w:divBdr>
        <w:top w:val="none" w:sz="0" w:space="0" w:color="auto"/>
        <w:left w:val="none" w:sz="0" w:space="0" w:color="auto"/>
        <w:bottom w:val="none" w:sz="0" w:space="0" w:color="auto"/>
        <w:right w:val="none" w:sz="0" w:space="0" w:color="auto"/>
      </w:divBdr>
    </w:div>
    <w:div w:id="1832866798">
      <w:bodyDiv w:val="1"/>
      <w:marLeft w:val="0"/>
      <w:marRight w:val="0"/>
      <w:marTop w:val="0"/>
      <w:marBottom w:val="0"/>
      <w:divBdr>
        <w:top w:val="none" w:sz="0" w:space="0" w:color="auto"/>
        <w:left w:val="none" w:sz="0" w:space="0" w:color="auto"/>
        <w:bottom w:val="none" w:sz="0" w:space="0" w:color="auto"/>
        <w:right w:val="none" w:sz="0" w:space="0" w:color="auto"/>
      </w:divBdr>
    </w:div>
    <w:div w:id="1843277604">
      <w:bodyDiv w:val="1"/>
      <w:marLeft w:val="0"/>
      <w:marRight w:val="0"/>
      <w:marTop w:val="0"/>
      <w:marBottom w:val="0"/>
      <w:divBdr>
        <w:top w:val="none" w:sz="0" w:space="0" w:color="auto"/>
        <w:left w:val="none" w:sz="0" w:space="0" w:color="auto"/>
        <w:bottom w:val="none" w:sz="0" w:space="0" w:color="auto"/>
        <w:right w:val="none" w:sz="0" w:space="0" w:color="auto"/>
      </w:divBdr>
    </w:div>
    <w:div w:id="1937471733">
      <w:bodyDiv w:val="1"/>
      <w:marLeft w:val="0"/>
      <w:marRight w:val="0"/>
      <w:marTop w:val="0"/>
      <w:marBottom w:val="0"/>
      <w:divBdr>
        <w:top w:val="none" w:sz="0" w:space="0" w:color="auto"/>
        <w:left w:val="none" w:sz="0" w:space="0" w:color="auto"/>
        <w:bottom w:val="none" w:sz="0" w:space="0" w:color="auto"/>
        <w:right w:val="none" w:sz="0" w:space="0" w:color="auto"/>
      </w:divBdr>
    </w:div>
    <w:div w:id="1967588748">
      <w:bodyDiv w:val="1"/>
      <w:marLeft w:val="0"/>
      <w:marRight w:val="0"/>
      <w:marTop w:val="0"/>
      <w:marBottom w:val="0"/>
      <w:divBdr>
        <w:top w:val="none" w:sz="0" w:space="0" w:color="auto"/>
        <w:left w:val="none" w:sz="0" w:space="0" w:color="auto"/>
        <w:bottom w:val="none" w:sz="0" w:space="0" w:color="auto"/>
        <w:right w:val="none" w:sz="0" w:space="0" w:color="auto"/>
      </w:divBdr>
      <w:divsChild>
        <w:div w:id="1375613218">
          <w:marLeft w:val="0"/>
          <w:marRight w:val="0"/>
          <w:marTop w:val="0"/>
          <w:marBottom w:val="0"/>
          <w:divBdr>
            <w:top w:val="none" w:sz="0" w:space="0" w:color="auto"/>
            <w:left w:val="none" w:sz="0" w:space="0" w:color="auto"/>
            <w:bottom w:val="none" w:sz="0" w:space="0" w:color="auto"/>
            <w:right w:val="none" w:sz="0" w:space="0" w:color="auto"/>
          </w:divBdr>
          <w:divsChild>
            <w:div w:id="11734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7820">
      <w:bodyDiv w:val="1"/>
      <w:marLeft w:val="0"/>
      <w:marRight w:val="0"/>
      <w:marTop w:val="0"/>
      <w:marBottom w:val="0"/>
      <w:divBdr>
        <w:top w:val="none" w:sz="0" w:space="0" w:color="auto"/>
        <w:left w:val="none" w:sz="0" w:space="0" w:color="auto"/>
        <w:bottom w:val="none" w:sz="0" w:space="0" w:color="auto"/>
        <w:right w:val="none" w:sz="0" w:space="0" w:color="auto"/>
      </w:divBdr>
      <w:divsChild>
        <w:div w:id="306864128">
          <w:marLeft w:val="0"/>
          <w:marRight w:val="0"/>
          <w:marTop w:val="0"/>
          <w:marBottom w:val="0"/>
          <w:divBdr>
            <w:top w:val="none" w:sz="0" w:space="0" w:color="auto"/>
            <w:left w:val="none" w:sz="0" w:space="0" w:color="auto"/>
            <w:bottom w:val="none" w:sz="0" w:space="0" w:color="auto"/>
            <w:right w:val="none" w:sz="0" w:space="0" w:color="auto"/>
          </w:divBdr>
        </w:div>
        <w:div w:id="151989661">
          <w:marLeft w:val="0"/>
          <w:marRight w:val="0"/>
          <w:marTop w:val="0"/>
          <w:marBottom w:val="0"/>
          <w:divBdr>
            <w:top w:val="none" w:sz="0" w:space="0" w:color="auto"/>
            <w:left w:val="none" w:sz="0" w:space="0" w:color="auto"/>
            <w:bottom w:val="none" w:sz="0" w:space="0" w:color="auto"/>
            <w:right w:val="none" w:sz="0" w:space="0" w:color="auto"/>
          </w:divBdr>
        </w:div>
        <w:div w:id="1861431440">
          <w:marLeft w:val="0"/>
          <w:marRight w:val="0"/>
          <w:marTop w:val="0"/>
          <w:marBottom w:val="0"/>
          <w:divBdr>
            <w:top w:val="none" w:sz="0" w:space="0" w:color="auto"/>
            <w:left w:val="none" w:sz="0" w:space="0" w:color="auto"/>
            <w:bottom w:val="none" w:sz="0" w:space="0" w:color="auto"/>
            <w:right w:val="none" w:sz="0" w:space="0" w:color="auto"/>
          </w:divBdr>
        </w:div>
        <w:div w:id="371855594">
          <w:marLeft w:val="0"/>
          <w:marRight w:val="0"/>
          <w:marTop w:val="0"/>
          <w:marBottom w:val="0"/>
          <w:divBdr>
            <w:top w:val="none" w:sz="0" w:space="0" w:color="auto"/>
            <w:left w:val="none" w:sz="0" w:space="0" w:color="auto"/>
            <w:bottom w:val="none" w:sz="0" w:space="0" w:color="auto"/>
            <w:right w:val="none" w:sz="0" w:space="0" w:color="auto"/>
          </w:divBdr>
        </w:div>
        <w:div w:id="1968664197">
          <w:marLeft w:val="0"/>
          <w:marRight w:val="0"/>
          <w:marTop w:val="0"/>
          <w:marBottom w:val="0"/>
          <w:divBdr>
            <w:top w:val="none" w:sz="0" w:space="0" w:color="auto"/>
            <w:left w:val="none" w:sz="0" w:space="0" w:color="auto"/>
            <w:bottom w:val="none" w:sz="0" w:space="0" w:color="auto"/>
            <w:right w:val="none" w:sz="0" w:space="0" w:color="auto"/>
          </w:divBdr>
        </w:div>
        <w:div w:id="180247520">
          <w:marLeft w:val="0"/>
          <w:marRight w:val="0"/>
          <w:marTop w:val="0"/>
          <w:marBottom w:val="0"/>
          <w:divBdr>
            <w:top w:val="none" w:sz="0" w:space="0" w:color="auto"/>
            <w:left w:val="none" w:sz="0" w:space="0" w:color="auto"/>
            <w:bottom w:val="none" w:sz="0" w:space="0" w:color="auto"/>
            <w:right w:val="none" w:sz="0" w:space="0" w:color="auto"/>
          </w:divBdr>
        </w:div>
        <w:div w:id="877355462">
          <w:marLeft w:val="0"/>
          <w:marRight w:val="0"/>
          <w:marTop w:val="0"/>
          <w:marBottom w:val="0"/>
          <w:divBdr>
            <w:top w:val="none" w:sz="0" w:space="0" w:color="auto"/>
            <w:left w:val="none" w:sz="0" w:space="0" w:color="auto"/>
            <w:bottom w:val="none" w:sz="0" w:space="0" w:color="auto"/>
            <w:right w:val="none" w:sz="0" w:space="0" w:color="auto"/>
          </w:divBdr>
        </w:div>
        <w:div w:id="529606897">
          <w:marLeft w:val="0"/>
          <w:marRight w:val="0"/>
          <w:marTop w:val="0"/>
          <w:marBottom w:val="0"/>
          <w:divBdr>
            <w:top w:val="none" w:sz="0" w:space="0" w:color="auto"/>
            <w:left w:val="none" w:sz="0" w:space="0" w:color="auto"/>
            <w:bottom w:val="none" w:sz="0" w:space="0" w:color="auto"/>
            <w:right w:val="none" w:sz="0" w:space="0" w:color="auto"/>
          </w:divBdr>
        </w:div>
        <w:div w:id="941844217">
          <w:marLeft w:val="0"/>
          <w:marRight w:val="0"/>
          <w:marTop w:val="0"/>
          <w:marBottom w:val="0"/>
          <w:divBdr>
            <w:top w:val="none" w:sz="0" w:space="0" w:color="auto"/>
            <w:left w:val="none" w:sz="0" w:space="0" w:color="auto"/>
            <w:bottom w:val="none" w:sz="0" w:space="0" w:color="auto"/>
            <w:right w:val="none" w:sz="0" w:space="0" w:color="auto"/>
          </w:divBdr>
        </w:div>
        <w:div w:id="2087338284">
          <w:marLeft w:val="0"/>
          <w:marRight w:val="0"/>
          <w:marTop w:val="0"/>
          <w:marBottom w:val="0"/>
          <w:divBdr>
            <w:top w:val="none" w:sz="0" w:space="0" w:color="auto"/>
            <w:left w:val="none" w:sz="0" w:space="0" w:color="auto"/>
            <w:bottom w:val="none" w:sz="0" w:space="0" w:color="auto"/>
            <w:right w:val="none" w:sz="0" w:space="0" w:color="auto"/>
          </w:divBdr>
        </w:div>
        <w:div w:id="1564875743">
          <w:marLeft w:val="0"/>
          <w:marRight w:val="0"/>
          <w:marTop w:val="0"/>
          <w:marBottom w:val="0"/>
          <w:divBdr>
            <w:top w:val="none" w:sz="0" w:space="0" w:color="auto"/>
            <w:left w:val="none" w:sz="0" w:space="0" w:color="auto"/>
            <w:bottom w:val="none" w:sz="0" w:space="0" w:color="auto"/>
            <w:right w:val="none" w:sz="0" w:space="0" w:color="auto"/>
          </w:divBdr>
        </w:div>
        <w:div w:id="1394738394">
          <w:marLeft w:val="0"/>
          <w:marRight w:val="0"/>
          <w:marTop w:val="0"/>
          <w:marBottom w:val="0"/>
          <w:divBdr>
            <w:top w:val="none" w:sz="0" w:space="0" w:color="auto"/>
            <w:left w:val="none" w:sz="0" w:space="0" w:color="auto"/>
            <w:bottom w:val="none" w:sz="0" w:space="0" w:color="auto"/>
            <w:right w:val="none" w:sz="0" w:space="0" w:color="auto"/>
          </w:divBdr>
          <w:divsChild>
            <w:div w:id="1161771656">
              <w:marLeft w:val="0"/>
              <w:marRight w:val="0"/>
              <w:marTop w:val="0"/>
              <w:marBottom w:val="0"/>
              <w:divBdr>
                <w:top w:val="none" w:sz="0" w:space="0" w:color="auto"/>
                <w:left w:val="none" w:sz="0" w:space="0" w:color="auto"/>
                <w:bottom w:val="none" w:sz="0" w:space="0" w:color="auto"/>
                <w:right w:val="none" w:sz="0" w:space="0" w:color="auto"/>
              </w:divBdr>
            </w:div>
            <w:div w:id="2123840970">
              <w:marLeft w:val="0"/>
              <w:marRight w:val="0"/>
              <w:marTop w:val="0"/>
              <w:marBottom w:val="0"/>
              <w:divBdr>
                <w:top w:val="none" w:sz="0" w:space="0" w:color="auto"/>
                <w:left w:val="none" w:sz="0" w:space="0" w:color="auto"/>
                <w:bottom w:val="none" w:sz="0" w:space="0" w:color="auto"/>
                <w:right w:val="none" w:sz="0" w:space="0" w:color="auto"/>
              </w:divBdr>
            </w:div>
            <w:div w:id="423186099">
              <w:marLeft w:val="0"/>
              <w:marRight w:val="0"/>
              <w:marTop w:val="0"/>
              <w:marBottom w:val="0"/>
              <w:divBdr>
                <w:top w:val="none" w:sz="0" w:space="0" w:color="auto"/>
                <w:left w:val="none" w:sz="0" w:space="0" w:color="auto"/>
                <w:bottom w:val="none" w:sz="0" w:space="0" w:color="auto"/>
                <w:right w:val="none" w:sz="0" w:space="0" w:color="auto"/>
              </w:divBdr>
            </w:div>
            <w:div w:id="1298291500">
              <w:marLeft w:val="0"/>
              <w:marRight w:val="0"/>
              <w:marTop w:val="0"/>
              <w:marBottom w:val="0"/>
              <w:divBdr>
                <w:top w:val="none" w:sz="0" w:space="0" w:color="auto"/>
                <w:left w:val="none" w:sz="0" w:space="0" w:color="auto"/>
                <w:bottom w:val="none" w:sz="0" w:space="0" w:color="auto"/>
                <w:right w:val="none" w:sz="0" w:space="0" w:color="auto"/>
              </w:divBdr>
            </w:div>
            <w:div w:id="1097480491">
              <w:marLeft w:val="0"/>
              <w:marRight w:val="0"/>
              <w:marTop w:val="0"/>
              <w:marBottom w:val="0"/>
              <w:divBdr>
                <w:top w:val="none" w:sz="0" w:space="0" w:color="auto"/>
                <w:left w:val="none" w:sz="0" w:space="0" w:color="auto"/>
                <w:bottom w:val="none" w:sz="0" w:space="0" w:color="auto"/>
                <w:right w:val="none" w:sz="0" w:space="0" w:color="auto"/>
              </w:divBdr>
            </w:div>
            <w:div w:id="1210462260">
              <w:marLeft w:val="0"/>
              <w:marRight w:val="0"/>
              <w:marTop w:val="0"/>
              <w:marBottom w:val="0"/>
              <w:divBdr>
                <w:top w:val="none" w:sz="0" w:space="0" w:color="auto"/>
                <w:left w:val="none" w:sz="0" w:space="0" w:color="auto"/>
                <w:bottom w:val="none" w:sz="0" w:space="0" w:color="auto"/>
                <w:right w:val="none" w:sz="0" w:space="0" w:color="auto"/>
              </w:divBdr>
            </w:div>
            <w:div w:id="1115253125">
              <w:marLeft w:val="0"/>
              <w:marRight w:val="0"/>
              <w:marTop w:val="0"/>
              <w:marBottom w:val="0"/>
              <w:divBdr>
                <w:top w:val="none" w:sz="0" w:space="0" w:color="auto"/>
                <w:left w:val="none" w:sz="0" w:space="0" w:color="auto"/>
                <w:bottom w:val="none" w:sz="0" w:space="0" w:color="auto"/>
                <w:right w:val="none" w:sz="0" w:space="0" w:color="auto"/>
              </w:divBdr>
            </w:div>
            <w:div w:id="1228956845">
              <w:marLeft w:val="0"/>
              <w:marRight w:val="0"/>
              <w:marTop w:val="0"/>
              <w:marBottom w:val="0"/>
              <w:divBdr>
                <w:top w:val="none" w:sz="0" w:space="0" w:color="auto"/>
                <w:left w:val="none" w:sz="0" w:space="0" w:color="auto"/>
                <w:bottom w:val="none" w:sz="0" w:space="0" w:color="auto"/>
                <w:right w:val="none" w:sz="0" w:space="0" w:color="auto"/>
              </w:divBdr>
            </w:div>
            <w:div w:id="1555694819">
              <w:marLeft w:val="0"/>
              <w:marRight w:val="0"/>
              <w:marTop w:val="0"/>
              <w:marBottom w:val="0"/>
              <w:divBdr>
                <w:top w:val="none" w:sz="0" w:space="0" w:color="auto"/>
                <w:left w:val="none" w:sz="0" w:space="0" w:color="auto"/>
                <w:bottom w:val="none" w:sz="0" w:space="0" w:color="auto"/>
                <w:right w:val="none" w:sz="0" w:space="0" w:color="auto"/>
              </w:divBdr>
            </w:div>
            <w:div w:id="224537111">
              <w:marLeft w:val="0"/>
              <w:marRight w:val="0"/>
              <w:marTop w:val="0"/>
              <w:marBottom w:val="0"/>
              <w:divBdr>
                <w:top w:val="none" w:sz="0" w:space="0" w:color="auto"/>
                <w:left w:val="none" w:sz="0" w:space="0" w:color="auto"/>
                <w:bottom w:val="none" w:sz="0" w:space="0" w:color="auto"/>
                <w:right w:val="none" w:sz="0" w:space="0" w:color="auto"/>
              </w:divBdr>
            </w:div>
          </w:divsChild>
        </w:div>
        <w:div w:id="537400658">
          <w:marLeft w:val="0"/>
          <w:marRight w:val="0"/>
          <w:marTop w:val="0"/>
          <w:marBottom w:val="0"/>
          <w:divBdr>
            <w:top w:val="none" w:sz="0" w:space="0" w:color="auto"/>
            <w:left w:val="none" w:sz="0" w:space="0" w:color="auto"/>
            <w:bottom w:val="none" w:sz="0" w:space="0" w:color="auto"/>
            <w:right w:val="none" w:sz="0" w:space="0" w:color="auto"/>
          </w:divBdr>
        </w:div>
        <w:div w:id="2082215290">
          <w:marLeft w:val="0"/>
          <w:marRight w:val="0"/>
          <w:marTop w:val="0"/>
          <w:marBottom w:val="0"/>
          <w:divBdr>
            <w:top w:val="none" w:sz="0" w:space="0" w:color="auto"/>
            <w:left w:val="none" w:sz="0" w:space="0" w:color="auto"/>
            <w:bottom w:val="none" w:sz="0" w:space="0" w:color="auto"/>
            <w:right w:val="none" w:sz="0" w:space="0" w:color="auto"/>
          </w:divBdr>
        </w:div>
        <w:div w:id="2128309372">
          <w:marLeft w:val="0"/>
          <w:marRight w:val="0"/>
          <w:marTop w:val="0"/>
          <w:marBottom w:val="0"/>
          <w:divBdr>
            <w:top w:val="none" w:sz="0" w:space="0" w:color="auto"/>
            <w:left w:val="none" w:sz="0" w:space="0" w:color="auto"/>
            <w:bottom w:val="none" w:sz="0" w:space="0" w:color="auto"/>
            <w:right w:val="none" w:sz="0" w:space="0" w:color="auto"/>
          </w:divBdr>
        </w:div>
        <w:div w:id="1887140540">
          <w:marLeft w:val="0"/>
          <w:marRight w:val="0"/>
          <w:marTop w:val="0"/>
          <w:marBottom w:val="0"/>
          <w:divBdr>
            <w:top w:val="none" w:sz="0" w:space="0" w:color="auto"/>
            <w:left w:val="none" w:sz="0" w:space="0" w:color="auto"/>
            <w:bottom w:val="none" w:sz="0" w:space="0" w:color="auto"/>
            <w:right w:val="none" w:sz="0" w:space="0" w:color="auto"/>
          </w:divBdr>
        </w:div>
        <w:div w:id="825514099">
          <w:marLeft w:val="0"/>
          <w:marRight w:val="0"/>
          <w:marTop w:val="0"/>
          <w:marBottom w:val="0"/>
          <w:divBdr>
            <w:top w:val="none" w:sz="0" w:space="0" w:color="auto"/>
            <w:left w:val="none" w:sz="0" w:space="0" w:color="auto"/>
            <w:bottom w:val="none" w:sz="0" w:space="0" w:color="auto"/>
            <w:right w:val="none" w:sz="0" w:space="0" w:color="auto"/>
          </w:divBdr>
        </w:div>
        <w:div w:id="1175921082">
          <w:marLeft w:val="0"/>
          <w:marRight w:val="0"/>
          <w:marTop w:val="0"/>
          <w:marBottom w:val="0"/>
          <w:divBdr>
            <w:top w:val="none" w:sz="0" w:space="0" w:color="auto"/>
            <w:left w:val="none" w:sz="0" w:space="0" w:color="auto"/>
            <w:bottom w:val="none" w:sz="0" w:space="0" w:color="auto"/>
            <w:right w:val="none" w:sz="0" w:space="0" w:color="auto"/>
          </w:divBdr>
        </w:div>
        <w:div w:id="902762345">
          <w:marLeft w:val="0"/>
          <w:marRight w:val="0"/>
          <w:marTop w:val="0"/>
          <w:marBottom w:val="0"/>
          <w:divBdr>
            <w:top w:val="none" w:sz="0" w:space="0" w:color="auto"/>
            <w:left w:val="none" w:sz="0" w:space="0" w:color="auto"/>
            <w:bottom w:val="none" w:sz="0" w:space="0" w:color="auto"/>
            <w:right w:val="none" w:sz="0" w:space="0" w:color="auto"/>
          </w:divBdr>
        </w:div>
        <w:div w:id="1033458168">
          <w:marLeft w:val="0"/>
          <w:marRight w:val="0"/>
          <w:marTop w:val="0"/>
          <w:marBottom w:val="0"/>
          <w:divBdr>
            <w:top w:val="none" w:sz="0" w:space="0" w:color="auto"/>
            <w:left w:val="none" w:sz="0" w:space="0" w:color="auto"/>
            <w:bottom w:val="none" w:sz="0" w:space="0" w:color="auto"/>
            <w:right w:val="none" w:sz="0" w:space="0" w:color="auto"/>
          </w:divBdr>
        </w:div>
        <w:div w:id="756287610">
          <w:marLeft w:val="0"/>
          <w:marRight w:val="0"/>
          <w:marTop w:val="0"/>
          <w:marBottom w:val="0"/>
          <w:divBdr>
            <w:top w:val="none" w:sz="0" w:space="0" w:color="auto"/>
            <w:left w:val="none" w:sz="0" w:space="0" w:color="auto"/>
            <w:bottom w:val="none" w:sz="0" w:space="0" w:color="auto"/>
            <w:right w:val="none" w:sz="0" w:space="0" w:color="auto"/>
          </w:divBdr>
        </w:div>
        <w:div w:id="879516543">
          <w:marLeft w:val="0"/>
          <w:marRight w:val="0"/>
          <w:marTop w:val="0"/>
          <w:marBottom w:val="0"/>
          <w:divBdr>
            <w:top w:val="none" w:sz="0" w:space="0" w:color="auto"/>
            <w:left w:val="none" w:sz="0" w:space="0" w:color="auto"/>
            <w:bottom w:val="none" w:sz="0" w:space="0" w:color="auto"/>
            <w:right w:val="none" w:sz="0" w:space="0" w:color="auto"/>
          </w:divBdr>
        </w:div>
        <w:div w:id="1277173875">
          <w:marLeft w:val="0"/>
          <w:marRight w:val="0"/>
          <w:marTop w:val="0"/>
          <w:marBottom w:val="0"/>
          <w:divBdr>
            <w:top w:val="none" w:sz="0" w:space="0" w:color="auto"/>
            <w:left w:val="none" w:sz="0" w:space="0" w:color="auto"/>
            <w:bottom w:val="none" w:sz="0" w:space="0" w:color="auto"/>
            <w:right w:val="none" w:sz="0" w:space="0" w:color="auto"/>
          </w:divBdr>
        </w:div>
        <w:div w:id="1536308090">
          <w:marLeft w:val="0"/>
          <w:marRight w:val="0"/>
          <w:marTop w:val="0"/>
          <w:marBottom w:val="0"/>
          <w:divBdr>
            <w:top w:val="none" w:sz="0" w:space="0" w:color="auto"/>
            <w:left w:val="none" w:sz="0" w:space="0" w:color="auto"/>
            <w:bottom w:val="none" w:sz="0" w:space="0" w:color="auto"/>
            <w:right w:val="none" w:sz="0" w:space="0" w:color="auto"/>
          </w:divBdr>
        </w:div>
        <w:div w:id="1891459392">
          <w:marLeft w:val="0"/>
          <w:marRight w:val="0"/>
          <w:marTop w:val="0"/>
          <w:marBottom w:val="0"/>
          <w:divBdr>
            <w:top w:val="none" w:sz="0" w:space="0" w:color="auto"/>
            <w:left w:val="none" w:sz="0" w:space="0" w:color="auto"/>
            <w:bottom w:val="none" w:sz="0" w:space="0" w:color="auto"/>
            <w:right w:val="none" w:sz="0" w:space="0" w:color="auto"/>
          </w:divBdr>
        </w:div>
        <w:div w:id="2077588485">
          <w:marLeft w:val="0"/>
          <w:marRight w:val="0"/>
          <w:marTop w:val="0"/>
          <w:marBottom w:val="0"/>
          <w:divBdr>
            <w:top w:val="none" w:sz="0" w:space="0" w:color="auto"/>
            <w:left w:val="none" w:sz="0" w:space="0" w:color="auto"/>
            <w:bottom w:val="none" w:sz="0" w:space="0" w:color="auto"/>
            <w:right w:val="none" w:sz="0" w:space="0" w:color="auto"/>
          </w:divBdr>
        </w:div>
        <w:div w:id="1850634010">
          <w:marLeft w:val="0"/>
          <w:marRight w:val="0"/>
          <w:marTop w:val="0"/>
          <w:marBottom w:val="0"/>
          <w:divBdr>
            <w:top w:val="none" w:sz="0" w:space="0" w:color="auto"/>
            <w:left w:val="none" w:sz="0" w:space="0" w:color="auto"/>
            <w:bottom w:val="none" w:sz="0" w:space="0" w:color="auto"/>
            <w:right w:val="none" w:sz="0" w:space="0" w:color="auto"/>
          </w:divBdr>
        </w:div>
        <w:div w:id="1890721066">
          <w:marLeft w:val="0"/>
          <w:marRight w:val="0"/>
          <w:marTop w:val="0"/>
          <w:marBottom w:val="0"/>
          <w:divBdr>
            <w:top w:val="none" w:sz="0" w:space="0" w:color="auto"/>
            <w:left w:val="none" w:sz="0" w:space="0" w:color="auto"/>
            <w:bottom w:val="none" w:sz="0" w:space="0" w:color="auto"/>
            <w:right w:val="none" w:sz="0" w:space="0" w:color="auto"/>
          </w:divBdr>
        </w:div>
        <w:div w:id="1618561443">
          <w:marLeft w:val="0"/>
          <w:marRight w:val="0"/>
          <w:marTop w:val="0"/>
          <w:marBottom w:val="0"/>
          <w:divBdr>
            <w:top w:val="none" w:sz="0" w:space="0" w:color="auto"/>
            <w:left w:val="none" w:sz="0" w:space="0" w:color="auto"/>
            <w:bottom w:val="none" w:sz="0" w:space="0" w:color="auto"/>
            <w:right w:val="none" w:sz="0" w:space="0" w:color="auto"/>
          </w:divBdr>
        </w:div>
        <w:div w:id="502623709">
          <w:marLeft w:val="0"/>
          <w:marRight w:val="0"/>
          <w:marTop w:val="0"/>
          <w:marBottom w:val="0"/>
          <w:divBdr>
            <w:top w:val="none" w:sz="0" w:space="0" w:color="auto"/>
            <w:left w:val="none" w:sz="0" w:space="0" w:color="auto"/>
            <w:bottom w:val="none" w:sz="0" w:space="0" w:color="auto"/>
            <w:right w:val="none" w:sz="0" w:space="0" w:color="auto"/>
          </w:divBdr>
        </w:div>
        <w:div w:id="1921017914">
          <w:marLeft w:val="0"/>
          <w:marRight w:val="0"/>
          <w:marTop w:val="0"/>
          <w:marBottom w:val="0"/>
          <w:divBdr>
            <w:top w:val="none" w:sz="0" w:space="0" w:color="auto"/>
            <w:left w:val="none" w:sz="0" w:space="0" w:color="auto"/>
            <w:bottom w:val="none" w:sz="0" w:space="0" w:color="auto"/>
            <w:right w:val="none" w:sz="0" w:space="0" w:color="auto"/>
          </w:divBdr>
        </w:div>
        <w:div w:id="593586652">
          <w:marLeft w:val="0"/>
          <w:marRight w:val="0"/>
          <w:marTop w:val="0"/>
          <w:marBottom w:val="0"/>
          <w:divBdr>
            <w:top w:val="none" w:sz="0" w:space="0" w:color="auto"/>
            <w:left w:val="none" w:sz="0" w:space="0" w:color="auto"/>
            <w:bottom w:val="none" w:sz="0" w:space="0" w:color="auto"/>
            <w:right w:val="none" w:sz="0" w:space="0" w:color="auto"/>
          </w:divBdr>
        </w:div>
        <w:div w:id="1080369185">
          <w:marLeft w:val="0"/>
          <w:marRight w:val="0"/>
          <w:marTop w:val="0"/>
          <w:marBottom w:val="0"/>
          <w:divBdr>
            <w:top w:val="none" w:sz="0" w:space="0" w:color="auto"/>
            <w:left w:val="none" w:sz="0" w:space="0" w:color="auto"/>
            <w:bottom w:val="none" w:sz="0" w:space="0" w:color="auto"/>
            <w:right w:val="none" w:sz="0" w:space="0" w:color="auto"/>
          </w:divBdr>
        </w:div>
        <w:div w:id="478811039">
          <w:marLeft w:val="0"/>
          <w:marRight w:val="0"/>
          <w:marTop w:val="0"/>
          <w:marBottom w:val="0"/>
          <w:divBdr>
            <w:top w:val="none" w:sz="0" w:space="0" w:color="auto"/>
            <w:left w:val="none" w:sz="0" w:space="0" w:color="auto"/>
            <w:bottom w:val="none" w:sz="0" w:space="0" w:color="auto"/>
            <w:right w:val="none" w:sz="0" w:space="0" w:color="auto"/>
          </w:divBdr>
        </w:div>
        <w:div w:id="1019891525">
          <w:marLeft w:val="0"/>
          <w:marRight w:val="0"/>
          <w:marTop w:val="0"/>
          <w:marBottom w:val="0"/>
          <w:divBdr>
            <w:top w:val="none" w:sz="0" w:space="0" w:color="auto"/>
            <w:left w:val="none" w:sz="0" w:space="0" w:color="auto"/>
            <w:bottom w:val="none" w:sz="0" w:space="0" w:color="auto"/>
            <w:right w:val="none" w:sz="0" w:space="0" w:color="auto"/>
          </w:divBdr>
        </w:div>
        <w:div w:id="636571879">
          <w:marLeft w:val="0"/>
          <w:marRight w:val="0"/>
          <w:marTop w:val="0"/>
          <w:marBottom w:val="0"/>
          <w:divBdr>
            <w:top w:val="none" w:sz="0" w:space="0" w:color="auto"/>
            <w:left w:val="none" w:sz="0" w:space="0" w:color="auto"/>
            <w:bottom w:val="none" w:sz="0" w:space="0" w:color="auto"/>
            <w:right w:val="none" w:sz="0" w:space="0" w:color="auto"/>
          </w:divBdr>
        </w:div>
        <w:div w:id="1005203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9BFC2-EF80-4B2E-A6C6-6B62496C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15</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Kelsier</dc:creator>
  <cp:keywords/>
  <dc:description/>
  <cp:lastModifiedBy>Kelsier</cp:lastModifiedBy>
  <cp:revision>13</cp:revision>
  <cp:lastPrinted>2025-04-03T14:19:00Z</cp:lastPrinted>
  <dcterms:created xsi:type="dcterms:W3CDTF">2025-04-03T09:49:00Z</dcterms:created>
  <dcterms:modified xsi:type="dcterms:W3CDTF">2025-04-07T14:43:00Z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id="pzClO8xq"/&gt;&lt;style id="http://www.zotero.org/styles/modern-humanities-research-association" hasBibliography="1" bibliographyStyleHasBeenSet="1"/&gt;&lt;prefs&gt;&lt;pref name="fieldType" value="Field"/&gt;&lt;pref </vt:lpwstr>
  </property>
  <property fmtid="{D5CDD505-2E9C-101B-9397-08002B2CF9AE}" pid="3" name="ZOTERO_PREF_2">
    <vt:lpwstr>name="automaticJournalAbbreviations" value="true"/&gt;&lt;pref name="noteType" value="2"/&gt;&lt;/prefs&gt;&lt;/data&gt;</vt:lpwstr>
  </property>
</Properties>
</file>