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320" w:before="200" w:line="360" w:lineRule="auto"/>
        <w:ind w:left="0" w:firstLine="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전체 구조(AS-IS 개요)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40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문서 인입(Intake)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08.6614173228347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채널: 포털/모바일 앱 업로드, 이메일, 팩스(스캔), 설계사/대리점 업로드, 우편 스캔, 파트너 EDI.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08.6614173228347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전처리: 바이러스/스팸 필터, 파일 정규화(PDF/이미지), 중복 탐지.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OCR/메타데이터 추출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08.6614173228347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OCR/IDP로 핵심 필드(증권번호, 성명/생년월일, 사고일자, 청구금액 등) 추출, 신뢰도 평가.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분류/케이스 매칭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08.6614173228347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문서 유형 자동/수동 분류(청구서, 영수증, 진단서, 사진 등).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08.6614173228347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기존 청구 케이스와 매칭(증권/청구번호, 이름, 사고일 조합). 실패 시 수동 검색 또는 예외 큐.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검증(업무 규칙 적용)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08.6614173228347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완전성: 필수 서류/서명/판독 가능 여부, 페이지 누락 여부.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08.6614173228347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일관성: 계약 유효기간 vs 사고일, 피보험자 정보 일치, 한도/특약 부합, 계좌 명의 일치 등.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08.6614173228347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교차검증: 영수증 총액 vs 청구서, 사진/메타데이터 vs 사고정보, 중복 청구 여부.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08.6614173228347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위변조/사기 징후 시 SIU(조사) 회부.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의사결정/지급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08.6614173228347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승인(STP 가능 시 자동) → 지급지시/회계 반영 → 고객 통지.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08.6614173228347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미비/오류 → 보완요청 루프(재접수 후 재검증).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08.6614173228347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부지급/반려 사유 기록.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보관/감사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08.6614173228347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ECM/DMS에 원본/메타데이터 보관, 색인/검색, 접근권한/감사로그, 보존/파기 정책 준수.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주요 역할과 시스템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역할: 인입/스캔 담당, 분류/인덱싱 담당, 보상담당(어드저스터), 예외/품질관리, SIU(조사), 컴플라이언스/정보보호, IT/OCR 운영.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시스템: 이메일/게이트웨이, OCR/IDP, ECM/DMS(문서관리), BPM/케이스관리, 코어 청구시스템, 전자서명, 지급/회계, 외부조회(제3자 데이터).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간단 시각화(텍스트 흐름도) 문서수신 → 전처리(스팸/정규화/중복) → OCR/필드추출 → 문서분류 → 케이스매칭 → [검증: 완전성 → 일관성 → 교차검증] → 결정(승인/보완요청/반려) → 지급/통지 → 보관/감사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실제 운영에서 자주 보이는 포인트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큐 기반 처리: 채널/문서유형/우선순위별 작업 큐 운영, 성수기(연말정산·계절성) 볼륨 변동.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자동+수동 혼합: 상위 빈도·정형 문서는 자동 분류/검증, 저품질 스캔·손글씨·특수케이스는 사람이 보완.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예외 루프: 미비서류 보완 요청 → 재접수 → 재검증이 처리시간의 큰 비중을 차지.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지표 관리: AHT(문서당 처리시간), TAT(처리완료까지), 분류 정확도, 첫회완료율(FTR), 예외율, SLA 준수, OCR 신뢰도.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컴플라이언스: 개인정보/민감정보 마스킹, 접근통제, 감사추적, 보존기간 엄수.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간단 변형 사례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단순 소액 청구: 포털 표준 양식 + 전자영수증 → 자동 분류/규칙 통과 → STP로 즉시 지급.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0" w:beforeAutospacing="0" w:line="480" w:lineRule="auto"/>
        <w:ind w:left="425.19685039370086" w:hanging="360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복잡 청구(의료·자동차): 다종 문서/대용량 이미지 → 교차검증·조사 필요 → 다수 핸드오프와 대기 발생.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320" w:before="0" w:beforeAutospacing="0" w:line="480" w:lineRule="auto"/>
        <w:ind w:left="720" w:hanging="360"/>
        <w:rPr>
          <w:color w:val="282828"/>
          <w:sz w:val="21"/>
          <w:szCs w:val="2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>
          <w:color w:val="282828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highlight w:val="white"/>
          <w:rtl w:val="0"/>
        </w:rPr>
        <w:t xml:space="preserve">문서 분류체계 및 유입 맵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100" w:before="100" w:line="480" w:lineRule="auto"/>
        <w:ind w:left="283.46456692913375" w:hanging="360"/>
        <w:rPr>
          <w:color w:val="282828"/>
          <w:sz w:val="21"/>
          <w:szCs w:val="2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문서 인벤토리: 청구서/FNOL, 진단서/진료비계산서/처방전/EOB, 견적서/수리완료서, 사진/영상, 경찰보고서, 신분증/KYC, 보험가입서류, 약관/특약, 변경신청서, 통장사본/자동이체, 위임장/동의서, 납입영수증, 해지/부활서류, 일반 민원/문의 등.</w:t>
      </w:r>
    </w:p>
    <w:p w:rsidR="00000000" w:rsidDel="00000000" w:rsidP="00000000" w:rsidRDefault="00000000" w:rsidRPr="00000000" w14:paraId="00000026">
      <w:p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100" w:before="100" w:line="480" w:lineRule="auto"/>
        <w:ind w:left="720" w:firstLine="0"/>
        <w:rPr>
          <w:color w:val="2828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0" w:afterAutospacing="0" w:before="100" w:line="480" w:lineRule="auto"/>
        <w:ind w:left="283.4645669291337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각 문서별로 기록: 명칭·동의어, 출처, 포맷·언어, 기대 필드(예: 증권번호, 성명/생년월일, 사고일자), 필수/선택 서류, 필요한 검증 체크, 연결될 케이스/프로세스.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282828" w:space="0" w:sz="0" w:val="none"/>
          <w:left w:color="282828" w:space="0" w:sz="0" w:val="none"/>
          <w:bottom w:color="282828" w:space="0" w:sz="0" w:val="none"/>
          <w:right w:color="282828" w:space="0" w:sz="0" w:val="none"/>
          <w:between w:color="282828" w:space="0" w:sz="0" w:val="none"/>
        </w:pBdr>
        <w:shd w:fill="ffffff" w:val="clear"/>
        <w:spacing w:after="100" w:before="0" w:beforeAutospacing="0" w:line="480" w:lineRule="auto"/>
        <w:ind w:left="283.4645669291337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채널별 유입·전처리·큐 분기: 스팸/바이러스, 이미지 정규화, OCR, 바코드/QR, HWP 변환, 메타데이터 추출.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4443413" cy="89975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8997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425.1968503937008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08.6614173228347" w:hanging="360.00000000000006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3.46456692913375" w:hanging="360"/>
      </w:pPr>
      <w:rPr>
        <w:rFonts w:ascii="Arial" w:cs="Arial" w:eastAsia="Arial" w:hAnsi="Arial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