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激励机制(抽象版)</w:t>
      </w:r>
    </w:p>
    <w:p>
      <w:pPr>
        <w:numPr>
          <w:ilvl w:val="0"/>
          <w:numId w:val="1"/>
        </w:numPr>
        <w:rPr>
          <w:rFonts w:hint="default"/>
          <w:lang w:val="en-US" w:eastAsia="zh-CN"/>
        </w:rPr>
      </w:pPr>
      <w:r>
        <w:rPr>
          <w:rFonts w:hint="eastAsia"/>
          <w:lang w:val="en-US" w:eastAsia="zh-CN"/>
        </w:rPr>
        <w:t>介绍</w:t>
      </w:r>
      <w:bookmarkStart w:id="0" w:name="_GoBack"/>
      <w:bookmarkEnd w:id="0"/>
    </w:p>
    <w:p>
      <w:pPr>
        <w:ind w:firstLine="420" w:firstLineChars="200"/>
        <w:rPr>
          <w:rFonts w:hint="eastAsia"/>
          <w:lang w:val="en-US" w:eastAsia="zh-CN"/>
        </w:rPr>
      </w:pPr>
      <w:r>
        <w:rPr>
          <w:rFonts w:hint="eastAsia"/>
          <w:lang w:val="en-US" w:eastAsia="zh-CN"/>
        </w:rPr>
        <w:t>激励机制是在组织系统中,激励主体系统运用多种激励手段并使之规范化和相对固定化,而与激励客体相互作用、相互制约的结构、方式、关系及演变规律的总和。在区块链中,激励机制具有重要作用,当发布一项算力任务时,联盟节点会努力计算,期望获得对应的激励,这种可预期的行为是信任产生的基础。因此,区块链的可信任与区块链节点行为的可预期相关,而行为的可预期则与激励机制相关,这一优点在比特币的流通，能源电力供需网是一个半中心化的系统,调控中心仍然具有中心化的节点特性,协调控制各分布式能源并网,保证电力系统的安全性和可靠性;调控中心作为中心节点独享区块链的发布权,发布新区块的计算任务以及相应激励,新区块的计算任务指的是对最优调度计划的求解,相应激励指的是调控中心发行的虚拟货币aaa,aaa的价值为对应于工作量的并网优先权,分布式能源可利用aaa优化并网,提高自身收益。</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numPr>
          <w:ilvl w:val="0"/>
          <w:numId w:val="2"/>
        </w:numPr>
        <w:rPr>
          <w:rFonts w:hint="eastAsia"/>
          <w:lang w:val="en-US" w:eastAsia="zh-CN"/>
        </w:rPr>
      </w:pPr>
      <w:r>
        <w:rPr>
          <w:rFonts w:hint="eastAsia"/>
          <w:lang w:val="en-US" w:eastAsia="zh-CN"/>
        </w:rPr>
        <w:t>设计</w:t>
      </w:r>
    </w:p>
    <w:p>
      <w:pPr>
        <w:numPr>
          <w:numId w:val="0"/>
        </w:numPr>
        <w:ind w:firstLine="420" w:firstLineChars="200"/>
        <w:rPr>
          <w:rFonts w:hint="eastAsia"/>
          <w:lang w:val="en-US" w:eastAsia="zh-CN"/>
        </w:rPr>
      </w:pPr>
      <w:r>
        <w:rPr>
          <w:rFonts w:hint="eastAsia"/>
          <w:lang w:val="en-US" w:eastAsia="zh-CN"/>
        </w:rPr>
        <w:t>第N个电能需求时段开始前,调控中心首先对各分布式能源节点支付的激励进行结算,然后在新的区块链中发布下一电能需求时段的调度计算任务,各分布式能源节点通过POW共识机制发现新区块并获得记账权;当前电能需求时段计算完成后,调控中心根据当前aaa的市场保有量将激励分配给拥有记账权的节点。第N个电能需求时段开始后,调控中心根据计算所得的最优调度计划协调控制各分布式能源节点参与并网。</w:t>
      </w:r>
    </w:p>
    <w:p>
      <w:pPr>
        <w:numPr>
          <w:numId w:val="0"/>
        </w:numPr>
        <w:rPr>
          <w:rFonts w:hint="eastAsia"/>
          <w:lang w:val="en-US" w:eastAsia="zh-CN"/>
        </w:rPr>
      </w:pPr>
      <w:r>
        <w:rPr>
          <w:rFonts w:hint="eastAsia"/>
          <w:lang w:val="en-US" w:eastAsia="zh-CN"/>
        </w:rPr>
        <w:drawing>
          <wp:inline distT="0" distB="0" distL="114300" distR="114300">
            <wp:extent cx="5273675" cy="8491855"/>
            <wp:effectExtent l="0" t="0" r="0" b="0"/>
            <wp:docPr id="1" name="图片 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1)"/>
                    <pic:cNvPicPr>
                      <a:picLocks noChangeAspect="1"/>
                    </pic:cNvPicPr>
                  </pic:nvPicPr>
                  <pic:blipFill>
                    <a:blip r:embed="rId4"/>
                    <a:stretch>
                      <a:fillRect/>
                    </a:stretch>
                  </pic:blipFill>
                  <pic:spPr>
                    <a:xfrm>
                      <a:off x="0" y="0"/>
                      <a:ext cx="5273675" cy="8491855"/>
                    </a:xfrm>
                    <a:prstGeom prst="rect">
                      <a:avLst/>
                    </a:prstGeom>
                  </pic:spPr>
                </pic:pic>
              </a:graphicData>
            </a:graphic>
          </wp:inline>
        </w:drawing>
      </w:r>
    </w:p>
    <w:p>
      <w:pPr>
        <w:numPr>
          <w:numId w:val="0"/>
        </w:numPr>
        <w:jc w:val="center"/>
        <w:rPr>
          <w:rFonts w:hint="default"/>
          <w:sz w:val="15"/>
          <w:szCs w:val="15"/>
          <w:lang w:val="en-US" w:eastAsia="zh-CN"/>
        </w:rPr>
      </w:pPr>
      <w:r>
        <w:rPr>
          <w:rFonts w:hint="eastAsia"/>
          <w:sz w:val="15"/>
          <w:szCs w:val="15"/>
          <w:lang w:val="en-US" w:eastAsia="zh-CN"/>
        </w:rPr>
        <w:t>图一  基础模型</w:t>
      </w:r>
    </w:p>
    <w:p>
      <w:pPr>
        <w:numPr>
          <w:numId w:val="0"/>
        </w:numPr>
        <w:rPr>
          <w:rFonts w:hint="eastAsia"/>
          <w:lang w:val="en-US" w:eastAsia="zh-CN"/>
        </w:rPr>
      </w:pPr>
    </w:p>
    <w:p>
      <w:pPr>
        <w:numPr>
          <w:numId w:val="0"/>
        </w:numPr>
        <w:rPr>
          <w:rFonts w:hint="default"/>
          <w:lang w:val="en-US" w:eastAsia="zh-CN"/>
        </w:rPr>
      </w:pPr>
      <w:r>
        <w:rPr>
          <w:rFonts w:hint="eastAsia"/>
          <w:lang w:val="en-US" w:eastAsia="zh-CN"/>
        </w:rPr>
        <w:t xml:space="preserve">在本系统中，将电动车与充电桩形成的庞大网络称为电力供需网,简单的实现过程为首先由调控中心发布计算任务,空闲的分布式能源节点在完成计算任务后,经过POW共识机制验证其准确性,若满足准确性要求,则获得相应的aaa激励。在该过程中,调控中心无权干涉。   </w:t>
      </w:r>
    </w:p>
    <w:p>
      <w:pPr>
        <w:numPr>
          <w:numId w:val="0"/>
        </w:numPr>
        <w:rPr>
          <w:rFonts w:hint="eastAsia"/>
          <w:lang w:val="en-US" w:eastAsia="zh-CN"/>
        </w:rPr>
      </w:pPr>
      <w:r>
        <w:rPr>
          <w:rFonts w:hint="eastAsia"/>
          <w:lang w:val="en-US" w:eastAsia="zh-CN"/>
        </w:rPr>
        <w:t>具体可将整个激励过程分为三层。</w:t>
      </w:r>
    </w:p>
    <w:p>
      <w:pPr>
        <w:numPr>
          <w:numId w:val="0"/>
        </w:numPr>
        <w:rPr>
          <w:rFonts w:hint="default"/>
          <w:lang w:val="en-US" w:eastAsia="zh-CN"/>
        </w:rPr>
      </w:pPr>
      <w:r>
        <w:rPr>
          <w:rFonts w:hint="eastAsia"/>
          <w:lang w:val="en-US" w:eastAsia="zh-CN"/>
        </w:rPr>
        <w:t>第一层为区块层，第二层为信息层，第三层为变量层。</w:t>
      </w:r>
    </w:p>
    <w:p>
      <w:pPr>
        <w:numPr>
          <w:ilvl w:val="0"/>
          <w:numId w:val="3"/>
        </w:numPr>
        <w:rPr>
          <w:rFonts w:hint="eastAsia"/>
          <w:lang w:val="en-US" w:eastAsia="zh-CN"/>
        </w:rPr>
      </w:pPr>
      <w:r>
        <w:rPr>
          <w:rFonts w:hint="eastAsia"/>
          <w:lang w:val="en-US" w:eastAsia="zh-CN"/>
        </w:rPr>
        <w:t>新节点随着新的分布式能源的入网产生,同时系统将自动为其分配一个地址。</w:t>
      </w:r>
    </w:p>
    <w:p>
      <w:pPr>
        <w:numPr>
          <w:ilvl w:val="0"/>
          <w:numId w:val="3"/>
        </w:numPr>
        <w:ind w:left="0" w:leftChars="0" w:firstLine="0" w:firstLineChars="0"/>
        <w:rPr>
          <w:rFonts w:hint="eastAsia"/>
          <w:lang w:val="en-US" w:eastAsia="zh-CN"/>
        </w:rPr>
      </w:pPr>
      <w:r>
        <w:rPr>
          <w:rFonts w:hint="eastAsia"/>
          <w:lang w:val="en-US" w:eastAsia="zh-CN"/>
        </w:rPr>
        <w:t>所有分布式能源节点的各个变量值将在入网后上传到变量层,随后向全网广播。</w:t>
      </w:r>
    </w:p>
    <w:p>
      <w:pPr>
        <w:rPr>
          <w:rFonts w:hint="eastAsia"/>
          <w:lang w:val="en-US" w:eastAsia="zh-CN"/>
        </w:rPr>
      </w:pPr>
      <w:r>
        <w:rPr>
          <w:rFonts w:hint="eastAsia"/>
          <w:lang w:val="en-US" w:eastAsia="zh-CN"/>
        </w:rPr>
        <w:t>(3) 下载其他节点处的区块链信息,各个节点定时新建一个空的区块。</w:t>
      </w:r>
    </w:p>
    <w:p>
      <w:pPr>
        <w:numPr>
          <w:ilvl w:val="0"/>
          <w:numId w:val="3"/>
        </w:numPr>
        <w:ind w:left="0" w:leftChars="0" w:firstLine="0" w:firstLineChars="0"/>
        <w:rPr>
          <w:rFonts w:hint="eastAsia"/>
          <w:lang w:val="en-US" w:eastAsia="zh-CN"/>
        </w:rPr>
      </w:pPr>
      <w:r>
        <w:rPr>
          <w:rFonts w:hint="eastAsia"/>
          <w:lang w:val="en-US" w:eastAsia="zh-CN"/>
        </w:rPr>
        <w:t>借助物联网元件,收集并计算电力交互的余量,然后向全网广播。</w:t>
      </w:r>
    </w:p>
    <w:p>
      <w:pPr>
        <w:numPr>
          <w:ilvl w:val="0"/>
          <w:numId w:val="3"/>
        </w:numPr>
        <w:ind w:left="0" w:leftChars="0" w:firstLine="0" w:firstLineChars="0"/>
        <w:rPr>
          <w:rFonts w:hint="eastAsia"/>
          <w:lang w:val="en-US" w:eastAsia="zh-CN"/>
        </w:rPr>
      </w:pPr>
      <w:r>
        <w:rPr>
          <w:rFonts w:hint="eastAsia"/>
          <w:lang w:val="en-US" w:eastAsia="zh-CN"/>
        </w:rPr>
        <w:t>根据公式分配形成电力交互方案，并结算激励。</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电力交互方案</w:t>
      </w:r>
    </w:p>
    <w:p>
      <w:pPr>
        <w:numPr>
          <w:numId w:val="0"/>
        </w:numPr>
        <w:ind w:leftChars="0"/>
        <w:rPr>
          <w:rFonts w:hint="default"/>
          <w:lang w:val="en-US" w:eastAsia="zh-CN"/>
        </w:rPr>
      </w:pPr>
      <w:r>
        <w:rPr>
          <w:rFonts w:hint="eastAsia"/>
          <w:lang w:val="en-US" w:eastAsia="zh-CN"/>
        </w:rPr>
        <w:t>Tnl</w:t>
      </w:r>
    </w:p>
    <w:p>
      <w:pPr>
        <w:numPr>
          <w:numId w:val="0"/>
        </w:numPr>
        <w:ind w:leftChars="0"/>
        <w:rPr>
          <w:rFonts w:hint="default"/>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16CF"/>
    <w:multiLevelType w:val="singleLevel"/>
    <w:tmpl w:val="0A4716CF"/>
    <w:lvl w:ilvl="0" w:tentative="0">
      <w:start w:val="1"/>
      <w:numFmt w:val="decimal"/>
      <w:suff w:val="space"/>
      <w:lvlText w:val="(%1)"/>
      <w:lvlJc w:val="left"/>
    </w:lvl>
  </w:abstractNum>
  <w:abstractNum w:abstractNumId="1">
    <w:nsid w:val="6C9374FE"/>
    <w:multiLevelType w:val="singleLevel"/>
    <w:tmpl w:val="6C9374FE"/>
    <w:lvl w:ilvl="0" w:tentative="0">
      <w:start w:val="1"/>
      <w:numFmt w:val="decimal"/>
      <w:lvlText w:val="%1."/>
      <w:lvlJc w:val="left"/>
      <w:pPr>
        <w:tabs>
          <w:tab w:val="left" w:pos="312"/>
        </w:tabs>
      </w:pPr>
    </w:lvl>
  </w:abstractNum>
  <w:abstractNum w:abstractNumId="2">
    <w:nsid w:val="70C8B99E"/>
    <w:multiLevelType w:val="singleLevel"/>
    <w:tmpl w:val="70C8B99E"/>
    <w:lvl w:ilvl="0" w:tentative="0">
      <w:start w:val="2"/>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B3D48"/>
    <w:rsid w:val="70DB3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2020-01-24T01:52:00Z</dcterms:created>
  <dc:creator>怎可偏安一隅</dc:creator>
  <cp:lastModifiedBy>怎可偏安一隅</cp:lastModifiedBy>
  <dcterms:modified xsi:type="dcterms:W3CDTF">2020-01-24T05:24:40Z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