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自動交易程式估價報告（白皮書）</w:t>
      </w:r>
    </w:p>
    <w:p>
      <w:pPr>
        <w:pStyle w:val="Heading1"/>
      </w:pPr>
      <w:r>
        <w:t>一、系統功能與技術特點概述</w:t>
      </w:r>
    </w:p>
    <w:p>
      <w:r>
        <w:t>本系統具備多策略協同、AI智能判斷、自動修復、嚴謹風控與人機交互功能，是一套高度模組化與自我優化能力的自動交易平台。</w:t>
        <w:br/>
        <w:br/>
        <w:t>核心特點：</w:t>
        <w:br/>
        <w:t>• 多策略組合與動態權重調整</w:t>
        <w:br/>
        <w:t>• AI判斷與自我優化</w:t>
        <w:br/>
        <w:t>• 多層風控與異常自動修復</w:t>
        <w:br/>
        <w:t>• 完善的異常通知與人工介入流程</w:t>
        <w:br/>
        <w:t>• 直觀易用的操作介面與詳盡交易/健康日誌</w:t>
      </w:r>
    </w:p>
    <w:p>
      <w:pPr>
        <w:pStyle w:val="Heading1"/>
      </w:pPr>
      <w:r>
        <w:t>二、與市場同類產品的功能對比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你的系統</w:t>
            </w:r>
          </w:p>
        </w:tc>
        <w:tc>
          <w:tcPr>
            <w:tcW w:type="dxa" w:w="2160"/>
          </w:tcPr>
          <w:p>
            <w:r>
              <w:t>常見市售框架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</w:tr>
      <w:tr>
        <w:tc>
          <w:tcPr>
            <w:tcW w:type="dxa" w:w="2160"/>
          </w:tcPr>
          <w:p>
            <w:r>
              <w:t>策略靈活度</w:t>
            </w:r>
          </w:p>
        </w:tc>
        <w:tc>
          <w:tcPr>
            <w:tcW w:type="dxa" w:w="2160"/>
          </w:tcPr>
          <w:p>
            <w:r>
              <w:t>多策略協同動態調整</w:t>
            </w:r>
          </w:p>
        </w:tc>
        <w:tc>
          <w:tcPr>
            <w:tcW w:type="dxa" w:w="2160"/>
          </w:tcPr>
          <w:p>
            <w:r>
              <w:t>多為單一策略或固定參數</w:t>
            </w:r>
          </w:p>
        </w:tc>
        <w:tc>
          <w:tcPr>
            <w:tcW w:type="dxa" w:w="2160"/>
          </w:tcPr>
          <w:p>
            <w:r>
              <w:t>大幅提升抗市場突發與失效風險</w:t>
            </w:r>
          </w:p>
        </w:tc>
      </w:tr>
      <w:tr>
        <w:tc>
          <w:tcPr>
            <w:tcW w:type="dxa" w:w="2160"/>
          </w:tcPr>
          <w:p>
            <w:r>
              <w:t>智能化程度</w:t>
            </w:r>
          </w:p>
        </w:tc>
        <w:tc>
          <w:tcPr>
            <w:tcW w:type="dxa" w:w="2160"/>
          </w:tcPr>
          <w:p>
            <w:r>
              <w:t>AI自我學習/異常偵測</w:t>
            </w:r>
          </w:p>
        </w:tc>
        <w:tc>
          <w:tcPr>
            <w:tcW w:type="dxa" w:w="2160"/>
          </w:tcPr>
          <w:p>
            <w:r>
              <w:t>多為固定條件邏輯</w:t>
            </w:r>
          </w:p>
        </w:tc>
        <w:tc>
          <w:tcPr>
            <w:tcW w:type="dxa" w:w="2160"/>
          </w:tcPr>
          <w:p>
            <w:r>
              <w:t>能隨市場演化自我優化</w:t>
            </w:r>
          </w:p>
        </w:tc>
      </w:tr>
      <w:tr>
        <w:tc>
          <w:tcPr>
            <w:tcW w:type="dxa" w:w="2160"/>
          </w:tcPr>
          <w:p>
            <w:r>
              <w:t>風控機制</w:t>
            </w:r>
          </w:p>
        </w:tc>
        <w:tc>
          <w:tcPr>
            <w:tcW w:type="dxa" w:w="2160"/>
          </w:tcPr>
          <w:p>
            <w:r>
              <w:t>多層自動風控/自癒</w:t>
            </w:r>
          </w:p>
        </w:tc>
        <w:tc>
          <w:tcPr>
            <w:tcW w:type="dxa" w:w="2160"/>
          </w:tcPr>
          <w:p>
            <w:r>
              <w:t>單一停損風控為主</w:t>
            </w:r>
          </w:p>
        </w:tc>
        <w:tc>
          <w:tcPr>
            <w:tcW w:type="dxa" w:w="2160"/>
          </w:tcPr>
          <w:p>
            <w:r>
              <w:t>安全性大幅提升</w:t>
            </w:r>
          </w:p>
        </w:tc>
      </w:tr>
      <w:tr>
        <w:tc>
          <w:tcPr>
            <w:tcW w:type="dxa" w:w="2160"/>
          </w:tcPr>
          <w:p>
            <w:r>
              <w:t>異常處理</w:t>
            </w:r>
          </w:p>
        </w:tc>
        <w:tc>
          <w:tcPr>
            <w:tcW w:type="dxa" w:w="2160"/>
          </w:tcPr>
          <w:p>
            <w:r>
              <w:t>自動修復+人機交接</w:t>
            </w:r>
          </w:p>
        </w:tc>
        <w:tc>
          <w:tcPr>
            <w:tcW w:type="dxa" w:w="2160"/>
          </w:tcPr>
          <w:p>
            <w:r>
              <w:t>多人工暫停或手動處理</w:t>
            </w:r>
          </w:p>
        </w:tc>
        <w:tc>
          <w:tcPr>
            <w:tcW w:type="dxa" w:w="2160"/>
          </w:tcPr>
          <w:p>
            <w:r>
              <w:t>降低技術失誤與突發風險</w:t>
            </w:r>
          </w:p>
        </w:tc>
      </w:tr>
      <w:tr>
        <w:tc>
          <w:tcPr>
            <w:tcW w:type="dxa" w:w="2160"/>
          </w:tcPr>
          <w:p>
            <w:r>
              <w:t>用戶介面</w:t>
            </w:r>
          </w:p>
        </w:tc>
        <w:tc>
          <w:tcPr>
            <w:tcW w:type="dxa" w:w="2160"/>
          </w:tcPr>
          <w:p>
            <w:r>
              <w:t>視覺化+人機互動</w:t>
            </w:r>
          </w:p>
        </w:tc>
        <w:tc>
          <w:tcPr>
            <w:tcW w:type="dxa" w:w="2160"/>
          </w:tcPr>
          <w:p>
            <w:r>
              <w:t>多為後台日誌或命令列</w:t>
            </w:r>
          </w:p>
        </w:tc>
        <w:tc>
          <w:tcPr>
            <w:tcW w:type="dxa" w:w="2160"/>
          </w:tcPr>
          <w:p>
            <w:r>
              <w:t>操作門檻降低且透明度高</w:t>
            </w:r>
          </w:p>
        </w:tc>
      </w:tr>
    </w:tbl>
    <w:p>
      <w:pPr>
        <w:pStyle w:val="Heading1"/>
      </w:pPr>
      <w:r>
        <w:t>三、預估價值範圍與說明</w:t>
      </w:r>
    </w:p>
    <w:p>
      <w:r>
        <w:t>根據系統功能完整性、技術創新度、實盤績效與市場需求，你目前的系統約落在中高階段位，預估價值約為 15,000 ~ 40,000 美元。</w:t>
        <w:br/>
        <w:br/>
        <w:t>具體價值還會根據後續的實盤績效、系統穩定性、可擴展性和用戶體驗持續提升。</w:t>
      </w:r>
    </w:p>
    <w:p>
      <w:pPr>
        <w:pStyle w:val="Heading1"/>
      </w:pPr>
      <w:r>
        <w:t>四、影響價值的關鍵因素分析</w:t>
      </w:r>
    </w:p>
    <w:p>
      <w:r>
        <w:t>• 功能完整度與創新性</w:t>
        <w:br/>
        <w:t>• AI模型表現與自癒機制</w:t>
        <w:br/>
        <w:t>• 多交易所/多資產支援能力</w:t>
        <w:br/>
        <w:t>• 實盤績效與穩定性</w:t>
        <w:br/>
        <w:t>• 用戶體驗與維護便利性</w:t>
      </w:r>
    </w:p>
    <w:p>
      <w:pPr>
        <w:pStyle w:val="Heading1"/>
      </w:pPr>
      <w:r>
        <w:t>五、後續提升價值的建議方向</w:t>
      </w:r>
    </w:p>
    <w:p>
      <w:r>
        <w:t>• 持續優化AI決策能力與異常處理效率</w:t>
        <w:br/>
        <w:t>• 增加策略多樣性與高頻/市場中性等進階功能</w:t>
        <w:br/>
        <w:t>• 擴展跨平台、多語言、多API支援</w:t>
        <w:br/>
        <w:t>• 強化用戶操作體驗與即時監控報表</w:t>
        <w:br/>
        <w:t>• 記錄與展示系統長期實盤績效，提升信任度</w:t>
      </w:r>
    </w:p>
    <w:p>
      <w:pPr>
        <w:pStyle w:val="Heading1"/>
      </w:pPr>
      <w:r>
        <w:t>附錄</w:t>
      </w:r>
    </w:p>
    <w:p>
      <w:r>
        <w:t>本報告為估值參考，建議配合實際運營狀態與市場需求彈性調整。</w:t>
        <w:br/>
        <w:t>如需更進一步的商業化規劃、投資簡報或技術白皮書內容，歡迎隨時提出需求。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