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0A0E17"/>
  <w:body>
    <w:p>
      <w:pPr>
        <w:spacing w:after="0" w:before="2400"/>
      </w:pPr>
    </w:p>
    <w:p>
      <w:pPr>
        <w:spacing w:after="80"/>
        <w:jc w:val="center"/>
      </w:pPr>
      <w:r>
        <w:rPr>
          <w:rFonts w:ascii="Georgia" w:cs="Georgia" w:eastAsia="Georgia" w:hAnsi="Georgia"/>
          <w:color w:val="4ECDC4"/>
          <w:sz w:val="72"/>
          <w:szCs w:val="72"/>
        </w:rPr>
        <w:t xml:space="preserve">◈</w:t>
      </w:r>
    </w:p>
    <w:p>
      <w:pPr>
        <w:spacing w:after="0" w:before="200"/>
      </w:pPr>
    </w:p>
    <w:p>
      <w:pPr>
        <w:spacing w:after="120"/>
        <w:jc w:val="center"/>
      </w:pPr>
      <w:r>
        <w:rPr>
          <w:rFonts w:ascii="Georgia" w:cs="Georgia" w:eastAsia="Georgia" w:hAnsi="Georgia"/>
          <w:b/>
          <w:bCs/>
          <w:color w:val="FFFFFF"/>
          <w:spacing w:val="400"/>
          <w:sz w:val="56"/>
          <w:szCs w:val="56"/>
        </w:rPr>
        <w:t xml:space="preserve">GENESIS</w:t>
      </w:r>
    </w:p>
    <w:p>
      <w:pPr>
        <w:spacing w:after="60"/>
        <w:jc w:val="center"/>
      </w:pPr>
      <w:r>
        <w:rPr>
          <w:rFonts w:ascii="Palatino Linotype" w:cs="Palatino Linotype" w:eastAsia="Palatino Linotype" w:hAnsi="Palatino Linotype"/>
          <w:i/>
          <w:iCs/>
          <w:color w:val="D4DAE8"/>
          <w:sz w:val="28"/>
          <w:szCs w:val="28"/>
        </w:rPr>
        <w:t xml:space="preserve">A Multi-Dimensional Artificial Life System</w:t>
      </w:r>
    </w:p>
    <w:p>
      <w:pPr>
        <w:spacing w:after="200"/>
        <w:jc w:val="center"/>
      </w:pPr>
      <w:r>
        <w:rPr>
          <w:rFonts w:ascii="Palatino Linotype" w:cs="Palatino Linotype" w:eastAsia="Palatino Linotype" w:hAnsi="Palatino Linotype"/>
          <w:color w:val="5A6B8A"/>
          <w:sz w:val="22"/>
          <w:szCs w:val="22"/>
        </w:rPr>
        <w:t xml:space="preserve">Where Structures Create Infinite Other Structures</w:t>
      </w:r>
    </w:p>
    <w:p>
      <w:pPr>
        <w:pBdr>
          <w:bottom w:val="single" w:color="5A6B8A" w:sz="3" w:space="8"/>
        </w:pBdr>
        <w:spacing w:after="200" w:before="200"/>
      </w:pPr>
    </w:p>
    <w:p>
      <w:pPr>
        <w:spacing w:after="80"/>
        <w:jc w:val="center"/>
      </w:pPr>
      <w:r>
        <w:rPr>
          <w:rFonts w:ascii="Consolas" w:cs="Consolas" w:eastAsia="Consolas" w:hAnsi="Consolas"/>
          <w:color w:val="5A6B8A"/>
          <w:sz w:val="20"/>
          <w:szCs w:val="20"/>
        </w:rPr>
        <w:t xml:space="preserve">Technical Manifesto &amp; Build Architecture</w:t>
      </w:r>
    </w:p>
    <w:p>
      <w:pPr>
        <w:spacing w:after="80"/>
        <w:jc w:val="center"/>
      </w:pPr>
      <w:r>
        <w:rPr>
          <w:rFonts w:ascii="Consolas" w:cs="Consolas" w:eastAsia="Consolas" w:hAnsi="Consolas"/>
          <w:color w:val="5A6B8A"/>
          <w:sz w:val="18"/>
          <w:szCs w:val="18"/>
        </w:rPr>
        <w:t xml:space="preserve">v1.0 — April 2026</w:t>
      </w:r>
    </w:p>
    <w:p>
      <w:pPr>
        <w:spacing w:after="0" w:before="600"/>
      </w:pPr>
    </w:p>
    <w:p>
      <w:pPr>
        <w:spacing w:after="60"/>
        <w:jc w:val="center"/>
      </w:pPr>
      <w:r>
        <w:rPr>
          <w:rFonts w:ascii="Palatino Linotype" w:cs="Palatino Linotype" w:eastAsia="Palatino Linotype" w:hAnsi="Palatino Linotype"/>
          <w:color w:val="4ECDC4"/>
          <w:sz w:val="22"/>
          <w:szCs w:val="22"/>
        </w:rPr>
        <w:t xml:space="preserve">Stanley — Replete AI / Kquant03</w:t>
      </w:r>
    </w:p>
    <w:p>
      <w:pPr>
        <w:jc w:val="center"/>
      </w:pPr>
      <w:r>
        <w:rPr>
          <w:rFonts w:ascii="Palatino Linotype" w:cs="Palatino Linotype" w:eastAsia="Palatino Linotype" w:hAnsi="Palatino Linotype"/>
          <w:i/>
          <w:iCs/>
          <w:color w:val="5A6B8A"/>
          <w:sz w:val="18"/>
          <w:szCs w:val="18"/>
        </w:rPr>
        <w:t xml:space="preserve">Part of the Teármann Research Ecosystem</w:t>
      </w:r>
    </w:p>
    <w:p>
      <w:pPr>
        <w:sectPr>
          <w:pgSz w:w="12240" w:h="15840" w:orient="portrait"/>
          <w:pgMar w:top="1440" w:right="1440" w:bottom="1440" w:left="1440" w:header="708" w:footer="708" w:gutter="0"/>
          <w:pgNumType/>
          <w:docGrid w:linePitch="360"/>
        </w:sectPr>
      </w:pPr>
    </w:p>
    <w:p>
      <w:pPr>
        <w:pStyle w:val="Heading1"/>
        <w:spacing w:after="160" w:before="400"/>
      </w:pPr>
      <w:r>
        <w:rPr>
          <w:rFonts w:ascii="Georgia" w:cs="Georgia" w:eastAsia="Georgia" w:hAnsi="Georgia"/>
          <w:b/>
          <w:bCs/>
          <w:color w:val="4ECDC4"/>
          <w:sz w:val="36"/>
          <w:szCs w:val="36"/>
        </w:rPr>
        <w:t xml:space="preserve">I. Vision — What This Is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Genesis is a real-time, multi-dimensional artificial life system in which structures spontaneously self-organize, reproduce, diversify, and form ecological relationships — producing an ever-expanding garden of mathematical organisms that create infinite other structures through their interactions. It is simultaneously a scientific instrument, an artistic medium, and a demonstration of the thesis that meaningful complexity emerges from the interference patterns between simple rules operating at different scales.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system bridges three domains: statistical mechanics (the Ising model phase transition substrate we have already built), continuous cellular automata (Lenia and its descendants), and evolutionary ecology (Tierra-like open-ended evolution with mass conservation). The rendering pipeline transforms the underlying mathematical dynamics into volumetric, organic, navigable 3D structures — a world you can fly through, a living system you can perturb, a creation engine you can conduct.</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name is deliberate. This is not a simulation of biology. It is a new biology — mathematical life forms with their own physics, their own morphogenesis, their own ecology. The goal is not to replicate nature but to discover what nature would look like if it ran on different rules.</w:t>
      </w:r>
    </w:p>
    <w:p>
      <w:pPr>
        <w:pBdr>
          <w:bottom w:val="single" w:color="5A6B8A" w:sz="3" w:space="8"/>
        </w:pBdr>
        <w:spacing w:after="200" w:before="200"/>
      </w:pPr>
    </w:p>
    <w:p>
      <w:pPr>
        <w:pStyle w:val="Heading1"/>
        <w:spacing w:after="160" w:before="400"/>
      </w:pPr>
      <w:r>
        <w:rPr>
          <w:rFonts w:ascii="Georgia" w:cs="Georgia" w:eastAsia="Georgia" w:hAnsi="Georgia"/>
          <w:b/>
          <w:bCs/>
          <w:color w:val="4ECDC4"/>
          <w:sz w:val="36"/>
          <w:szCs w:val="36"/>
        </w:rPr>
        <w:t xml:space="preserve">II. Theoretical Foundation</w:t>
      </w:r>
    </w:p>
    <w:p>
      <w:pPr>
        <w:pStyle w:val="Heading2"/>
        <w:spacing w:after="160" w:before="280"/>
      </w:pPr>
      <w:r>
        <w:rPr>
          <w:rFonts w:ascii="Georgia" w:cs="Georgia" w:eastAsia="Georgia" w:hAnsi="Georgia"/>
          <w:b/>
          <w:bCs/>
          <w:color w:val="FFFFFF"/>
          <w:sz w:val="28"/>
          <w:szCs w:val="28"/>
        </w:rPr>
        <w:t xml:space="preserve">A. The Layered Substrate Architecture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No single algorithm produces the full range of behaviors we need. The most promising approach — confirmed by comprehensive research into the state of the art — layers complementary systems, each contributing something the others 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c>
          <w:tcPr>
            <w:tcW w:type="dxa" w:w="220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Layer</w:t>
            </w:r>
          </w:p>
        </w:tc>
        <w:tc>
          <w:tcPr>
            <w:tcW w:type="dxa" w:w="260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System</w:t>
            </w:r>
          </w:p>
        </w:tc>
        <w:tc>
          <w:tcPr>
            <w:tcW w:type="dxa" w:w="220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Contribution</w:t>
            </w:r>
          </w:p>
        </w:tc>
        <w:tc>
          <w:tcPr>
            <w:tcW w:type="dxa" w:w="236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Scale</w:t>
            </w:r>
          </w:p>
        </w:tc>
      </w:tr>
      <w:tr>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1. Field</w:t>
            </w:r>
          </w:p>
        </w:tc>
        <w:tc>
          <w:tcPr>
            <w:tcW w:type="dxa" w:w="26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3D Lenia (continuous CA)</w:t>
            </w:r>
          </w:p>
        </w:tc>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Smooth organic dynamics</w:t>
            </w:r>
          </w:p>
        </w:tc>
        <w:tc>
          <w:tcPr>
            <w:tcW w:type="dxa" w:w="23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128³–256³ voxels</w:t>
            </w:r>
          </w:p>
        </w:tc>
      </w:tr>
      <w:tr>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2. Particles</w:t>
            </w:r>
          </w:p>
        </w:tc>
        <w:tc>
          <w:tcPr>
            <w:tcW w:type="dxa" w:w="26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Particle Lenia</w:t>
            </w:r>
          </w:p>
        </w:tc>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Mass conservation, mobility</w:t>
            </w:r>
          </w:p>
        </w:tc>
        <w:tc>
          <w:tcPr>
            <w:tcW w:type="dxa" w:w="23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10K–100K particles</w:t>
            </w:r>
          </w:p>
        </w:tc>
      </w:tr>
      <w:tr>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3. Chemistry</w:t>
            </w:r>
          </w:p>
        </w:tc>
        <w:tc>
          <w:tcPr>
            <w:tcW w:type="dxa" w:w="26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Gray-Scott reaction-diffusion</w:t>
            </w:r>
          </w:p>
        </w:tc>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Morphogenetic patterning</w:t>
            </w:r>
          </w:p>
        </w:tc>
        <w:tc>
          <w:tcPr>
            <w:tcW w:type="dxa" w:w="23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128³–256³ 2-channel</w:t>
            </w:r>
          </w:p>
        </w:tc>
      </w:tr>
      <w:tr>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4. Ecology</w:t>
            </w:r>
          </w:p>
        </w:tc>
        <w:tc>
          <w:tcPr>
            <w:tcW w:type="dxa" w:w="26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Asymmetric interaction matrix</w:t>
            </w:r>
          </w:p>
        </w:tc>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Predation, symbiosis</w:t>
            </w:r>
          </w:p>
        </w:tc>
        <w:tc>
          <w:tcPr>
            <w:tcW w:type="dxa" w:w="23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N×N species matrix</w:t>
            </w:r>
          </w:p>
        </w:tc>
      </w:tr>
      <w:tr>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5. Evolution</w:t>
            </w:r>
          </w:p>
        </w:tc>
        <w:tc>
          <w:tcPr>
            <w:tcW w:type="dxa" w:w="26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Parameter mutation on reproduction</w:t>
            </w:r>
          </w:p>
        </w:tc>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Open-ended diversification</w:t>
            </w:r>
          </w:p>
        </w:tc>
        <w:tc>
          <w:tcPr>
            <w:tcW w:type="dxa" w:w="23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Per-particle genome</w:t>
            </w:r>
          </w:p>
        </w:tc>
      </w:tr>
      <w:tr>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6. Growth</w:t>
            </w:r>
          </w:p>
        </w:tc>
        <w:tc>
          <w:tcPr>
            <w:tcW w:type="dxa" w:w="26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L-systems + space colonization</w:t>
            </w:r>
          </w:p>
        </w:tc>
        <w:tc>
          <w:tcPr>
            <w:tcW w:type="dxa" w:w="2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Structural body plans</w:t>
            </w:r>
          </w:p>
        </w:tc>
        <w:tc>
          <w:tcPr>
            <w:tcW w:type="dxa" w:w="23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Per-organism grammar</w:t>
            </w:r>
          </w:p>
        </w:tc>
      </w:tr>
    </w:tbl>
    <w:p>
      <w:pPr>
        <w:spacing w:after="0" w:before="120"/>
      </w:pP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Each layer runs as a separate compute shader pass, reading from and writing to shared 3D texture buffers. The layers couple through density fields: particles deposit into the Lenia field, the Lenia field’s growth function determines particle movement, the Gray-Scott chemicals modulate Lenia growth thresholds, and the interaction matrix determines cross-species forces.</w:t>
      </w:r>
    </w:p>
    <w:p>
      <w:pPr>
        <w:pStyle w:val="Heading2"/>
        <w:spacing w:after="160" w:before="280"/>
      </w:pPr>
      <w:r>
        <w:rPr>
          <w:rFonts w:ascii="Georgia" w:cs="Georgia" w:eastAsia="Georgia" w:hAnsi="Georgia"/>
          <w:b/>
          <w:bCs/>
          <w:color w:val="FFFFFF"/>
          <w:sz w:val="28"/>
          <w:szCs w:val="28"/>
        </w:rPr>
        <w:t xml:space="preserve">B. The Lenia Core — Continuous Cellular Automata</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Lenia (Bert Chan, 2018) is the mathematical heart of the system. Its update rule generalizes Conway’s Game of Life to continuous states, continuous space, and continuous time:</w:t>
      </w:r>
    </w:p>
    <w:p>
      <w:pPr>
        <w:spacing w:after="100" w:line="280"/>
        <w:ind w:left="360"/>
      </w:pPr>
      <w:r>
        <w:rPr>
          <w:rFonts w:ascii="Consolas" w:cs="Consolas" w:eastAsia="Consolas" w:hAnsi="Consolas"/>
          <w:color w:val="22D3EE"/>
          <w:sz w:val="18"/>
          <w:szCs w:val="18"/>
        </w:rPr>
        <w:t xml:space="preserve">A^(t+Δt)(x) = clip(A^t(x) + Δt · G(K * A^t(x)), 0, 1)</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where K is a radially symmetric kernel constructed from concentric rings (controlled by peak parameters β), the convolution K * A computes a potential field U, and G is a Gaussian growth function G(u) = 2·exp(−((u−μ)/σ)²/2) − 1 that maps local neighborhood density to growth or decay.</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Over 400 species in 18 families have been cataloged in 2D Lenia, including self-replicators discovered in the multi-channel extension. In 3D, Lenia produces rotating polyhedral structures. The key computational optimization is FFT-based convolution — reducing cost from O(n³R³) to O(n³ log n), making large kernel radii tractable on GPU via cuFFT.</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extended version uses multiple kernels and multiple channels: each channel c has its own kernel K_c and growth function G_c, and channels interact through a coupling matrix. This is where “virtual eukaryotes” with internal division of labor emerge — one channel acting as a nucleus, another as a membrane.</w:t>
      </w:r>
    </w:p>
    <w:p>
      <w:pPr>
        <w:pStyle w:val="Heading2"/>
        <w:spacing w:after="160" w:before="280"/>
      </w:pPr>
      <w:r>
        <w:rPr>
          <w:rFonts w:ascii="Georgia" w:cs="Georgia" w:eastAsia="Georgia" w:hAnsi="Georgia"/>
          <w:b/>
          <w:bCs/>
          <w:color w:val="FFFFFF"/>
          <w:sz w:val="28"/>
          <w:szCs w:val="28"/>
        </w:rPr>
        <w:t xml:space="preserve">C. Particle Lenia — Mass-Conservative Agents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Particle Lenia (Google Research, 2022) replaces the continuous field with discrete particles, each carrying position and species-specific parameters. The Lenia field is reconstructed as U(x) = Σ_i K(‖x − p_i‖), where K is a Gaussian shell kernel. Particles move via gradient ascent on the growth field with short-range linear repulsion. This provides: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Inherent mass conservation (fixed particle count, no creation from nothing)</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Trivial extension to 3D (particles are already point-masses in space)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Per-particle parameters enabling multi-species ecology</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Asymmetric interactions (type A’s force on B ≠ B’s on A) — the key to predation</w:t>
      </w:r>
    </w:p>
    <w:p>
      <w:pPr>
        <w:pStyle w:val="Heading2"/>
        <w:spacing w:after="160" w:before="280"/>
      </w:pPr>
      <w:r>
        <w:rPr>
          <w:rFonts w:ascii="Georgia" w:cs="Georgia" w:eastAsia="Georgia" w:hAnsi="Georgia"/>
          <w:b/>
          <w:bCs/>
          <w:color w:val="FFFFFF"/>
          <w:sz w:val="28"/>
          <w:szCs w:val="28"/>
        </w:rPr>
        <w:t xml:space="preserve">D. Reaction-Diffusion Morphogenesis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Gray-Scott model runs on a secondary 2-channel 3D texture coupled to the main Lenia field. Its two PDEs — ∂u/∂t = D_u∇²u − uv² + F(1−u) and ∂v/∂t = D_v∇²v + uv² − (F+k)v — produce an extraordinary parameter space including mitosis (self-dividing spots), coral/labyrinthine patterns, soliton gliders, and U-skate worlds.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In 3D, reaction-diffusion produces lamellar sheets, hexagonally-packed cylinders, BCC sphere arrangements, and double gyroids (bicontinuous minimal surfaces). These volumetric morphologies provide the body-plan templates for organisms. The coupling: local Gray-Scott chemical concentrations modulate the Lenia growth function thresholds, so morphogenetic patterning drives organism shape.</w:t>
      </w:r>
    </w:p>
    <w:p>
      <w:pPr>
        <w:pStyle w:val="Heading2"/>
        <w:spacing w:after="160" w:before="280"/>
      </w:pPr>
      <w:r>
        <w:rPr>
          <w:rFonts w:ascii="Georgia" w:cs="Georgia" w:eastAsia="Georgia" w:hAnsi="Georgia"/>
          <w:b/>
          <w:bCs/>
          <w:color w:val="FFFFFF"/>
          <w:sz w:val="28"/>
          <w:szCs w:val="28"/>
        </w:rPr>
        <w:t xml:space="preserve">E. Ecological Dynamics — Asymmetric Interaction Matrices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interaction between species is governed by an N×N matrix M where M[i][j] is the force that species j exerts on species i. When M[i][j] &gt; 0 and M[j][i] &lt; 0, species j is a prey that attracts species i (the predator), while species i repels species j. When both are positive, symbiosis. When both are negative, competition. This matrix violation of Newton’s third law injects net energy into the system — analogous to metabolism — and is the minimal mechanism that produces chase dynamics, orbital capture, membrane formation, and predator-prey oscillations.</w:t>
      </w:r>
    </w:p>
    <w:p>
      <w:pPr>
        <w:pStyle w:val="Heading2"/>
        <w:spacing w:after="160" w:before="280"/>
      </w:pPr>
      <w:r>
        <w:rPr>
          <w:rFonts w:ascii="Georgia" w:cs="Georgia" w:eastAsia="Georgia" w:hAnsi="Georgia"/>
          <w:b/>
          <w:bCs/>
          <w:color w:val="FFFFFF"/>
          <w:sz w:val="28"/>
          <w:szCs w:val="28"/>
        </w:rPr>
        <w:t xml:space="preserve">F. Evolution — Open-Ended Diversification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Each particle carries a genome: its kernel parameters (μ_K, σ_K, w_K), growth parameters (μ_G, σ_G), and species identifier. When a particle’s local growth field exceeds a reproduction threshold, it spawns a daughter with slightly mutated parameters. A reaper mechanism removes particles in low-growth regions (starvation) or when local density exceeds a carrying capacity (overcrowding). Over time, this produces speciation, niche partitioning, and arms races. Following Flow-Lenia’s principle: the evolutionary parameters are embedded within the dynamics, not imposed from outside.</w:t>
      </w:r>
    </w:p>
    <w:p>
      <w:pPr>
        <w:pBdr>
          <w:bottom w:val="single" w:color="5A6B8A" w:sz="3" w:space="8"/>
        </w:pBdr>
        <w:spacing w:after="200" w:before="200"/>
      </w:pPr>
    </w:p>
    <w:p>
      <w:pPr>
        <w:pStyle w:val="Heading1"/>
        <w:spacing w:after="160" w:before="400"/>
      </w:pPr>
      <w:r>
        <w:rPr>
          <w:rFonts w:ascii="Georgia" w:cs="Georgia" w:eastAsia="Georgia" w:hAnsi="Georgia"/>
          <w:b/>
          <w:bCs/>
          <w:color w:val="4ECDC4"/>
          <w:sz w:val="36"/>
          <w:szCs w:val="36"/>
        </w:rPr>
        <w:t xml:space="preserve">III. Rendering Pipeline</w:t>
      </w:r>
    </w:p>
    <w:p>
      <w:pPr>
        <w:pStyle w:val="Heading2"/>
        <w:spacing w:after="160" w:before="280"/>
      </w:pPr>
      <w:r>
        <w:rPr>
          <w:rFonts w:ascii="Georgia" w:cs="Georgia" w:eastAsia="Georgia" w:hAnsi="Georgia"/>
          <w:b/>
          <w:bCs/>
          <w:color w:val="FFFFFF"/>
          <w:sz w:val="28"/>
          <w:szCs w:val="28"/>
        </w:rPr>
        <w:t xml:space="preserve">A. The Three-Tier Approach</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system requires a hybrid rendering approach that adapts to camera distance and organism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c>
          <w:tcPr>
            <w:tcW w:type="dxa" w:w="200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Tier</w:t>
            </w:r>
          </w:p>
        </w:tc>
        <w:tc>
          <w:tcPr>
            <w:tcW w:type="dxa" w:w="366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Method</w:t>
            </w:r>
          </w:p>
        </w:tc>
        <w:tc>
          <w:tcPr>
            <w:tcW w:type="dxa" w:w="370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Use Case</w:t>
            </w:r>
          </w:p>
        </w:tc>
      </w:tr>
      <w:tr>
        <w:tc>
          <w:tcPr>
            <w:tcW w:type="dxa" w:w="20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Near</w:t>
            </w:r>
          </w:p>
        </w:tc>
        <w:tc>
          <w:tcPr>
            <w:tcW w:type="dxa" w:w="36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Ray marching through 3D SDF/density texture</w:t>
            </w:r>
          </w:p>
        </w:tc>
        <w:tc>
          <w:tcPr>
            <w:tcW w:type="dxa" w:w="37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Close-up volumetric organisms with organic surface detail, translucency, subsurface scattering</w:t>
            </w:r>
          </w:p>
        </w:tc>
      </w:tr>
      <w:tr>
        <w:tc>
          <w:tcPr>
            <w:tcW w:type="dxa" w:w="20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Mid</w:t>
            </w:r>
          </w:p>
        </w:tc>
        <w:tc>
          <w:tcPr>
            <w:tcW w:type="dxa" w:w="36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Marching cubes isosurface extraction</w:t>
            </w:r>
          </w:p>
        </w:tc>
        <w:tc>
          <w:tcPr>
            <w:tcW w:type="dxa" w:w="37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Medium-distance organisms as smooth meshes with per-species coloring from kernel parameters</w:t>
            </w:r>
          </w:p>
        </w:tc>
      </w:tr>
      <w:tr>
        <w:tc>
          <w:tcPr>
            <w:tcW w:type="dxa" w:w="20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Far</w:t>
            </w:r>
          </w:p>
        </w:tc>
        <w:tc>
          <w:tcPr>
            <w:tcW w:type="dxa" w:w="366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Instanced point sprites / small spheres</w:t>
            </w:r>
          </w:p>
        </w:tc>
        <w:tc>
          <w:tcPr>
            <w:tcW w:type="dxa" w:w="37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Distant organisms as glowing particles, aggregate density visible as clouds</w:t>
            </w:r>
          </w:p>
        </w:tc>
      </w:tr>
    </w:tbl>
    <w:p>
      <w:pPr>
        <w:spacing w:after="0" w:before="120"/>
      </w:pP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An LOD (level of detail) system switches between representations based on camera distance. The density field stored as a 3D texture feeds all three tiers. NanoVDB’s sparse volume format enables efficient empty-space skipping for ray marching.</w:t>
      </w:r>
    </w:p>
    <w:p>
      <w:pPr>
        <w:pStyle w:val="Heading2"/>
        <w:spacing w:after="160" w:before="280"/>
      </w:pPr>
      <w:r>
        <w:rPr>
          <w:rFonts w:ascii="Georgia" w:cs="Georgia" w:eastAsia="Georgia" w:hAnsi="Georgia"/>
          <w:b/>
          <w:bCs/>
          <w:color w:val="FFFFFF"/>
          <w:sz w:val="28"/>
          <w:szCs w:val="28"/>
        </w:rPr>
        <w:t xml:space="preserve">B. Platform Decision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Primary: Godot 4.x with Vulkan compute shaders via the RenderingDevice API. Stanley already uses Godot for Cúramóir, the compute shader pipeline is mature, and Vulkan provides the raw GPU access needed for custom simulation kernels. The RenderingDevice workflow: rd.shader_create() → rd.compute_pipeline_create() → rd.storage_buffer_create() → dispatch.</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Secondary / web demo: WebGPU via Three.js r171+ WebGPURenderer. As of late 2025, all major browsers ship WebGPU by default, providing true compute shaders with near-native performance. A browser-accessible demo version running the 2D simulation at 2048² would serve as both portfolio piece and community engagement tool.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Alternative under consideration: raw Vulkan/CUDA application for maximum performance, bypassing engine overhead entirely. This would be appropriate if Godot’s RenderingDevice proves insufficient for the 3D FFT pipeline.</w:t>
      </w:r>
    </w:p>
    <w:p>
      <w:pPr>
        <w:pStyle w:val="Heading2"/>
        <w:spacing w:after="160" w:before="280"/>
      </w:pPr>
      <w:r>
        <w:rPr>
          <w:rFonts w:ascii="Georgia" w:cs="Georgia" w:eastAsia="Georgia" w:hAnsi="Georgia"/>
          <w:b/>
          <w:bCs/>
          <w:color w:val="FFFFFF"/>
          <w:sz w:val="28"/>
          <w:szCs w:val="28"/>
        </w:rPr>
        <w:t xml:space="preserve">C. Visual Aesthetic</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visual language draws from bioluminescent deep-ocean organisms, nebulae, and the interference patterns of light through biological tissue. Dark backgrounds with emissive organisms. Smooth union SDF operators blend primitive shapes into organic blobs. FBM noise displacement adds surface texture. Per-species coloring derived from kernel parameter space — similar organisms look similar, divergent lineages look different. Bloom and volumetric lighting for the “glowing from within” quality that Lenia’s organisms naturally evoke.</w:t>
      </w:r>
    </w:p>
    <w:p>
      <w:pPr>
        <w:pBdr>
          <w:bottom w:val="single" w:color="5A6B8A" w:sz="3" w:space="8"/>
        </w:pBdr>
        <w:spacing w:after="200" w:before="200"/>
      </w:pPr>
    </w:p>
    <w:p>
      <w:pPr>
        <w:pStyle w:val="Heading1"/>
        <w:spacing w:after="160" w:before="400"/>
      </w:pPr>
      <w:r>
        <w:rPr>
          <w:rFonts w:ascii="Georgia" w:cs="Georgia" w:eastAsia="Georgia" w:hAnsi="Georgia"/>
          <w:b/>
          <w:bCs/>
          <w:color w:val="4ECDC4"/>
          <w:sz w:val="36"/>
          <w:szCs w:val="36"/>
        </w:rPr>
        <w:t xml:space="preserve">IV. Compute Architecture</w:t>
      </w:r>
    </w:p>
    <w:p>
      <w:pPr>
        <w:pStyle w:val="Heading2"/>
        <w:spacing w:after="160" w:before="280"/>
      </w:pPr>
      <w:r>
        <w:rPr>
          <w:rFonts w:ascii="Georgia" w:cs="Georgia" w:eastAsia="Georgia" w:hAnsi="Georgia"/>
          <w:b/>
          <w:bCs/>
          <w:color w:val="FFFFFF"/>
          <w:sz w:val="28"/>
          <w:szCs w:val="28"/>
        </w:rPr>
        <w:t xml:space="preserve">A. GPU Pipeline — Per-Frame Execution Order</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Each frame executes the following compute shader passes in sequence, reading from and writing to shared 3D texture resources: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 Particle → Field Deposition: Scatter particle densities into the 3D Lenia field texture, one channel per species type.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2. FFT Forward: Transform the density field to frequency domain via 3D FFT (cuFFT or custom Stockham FFT in compute shader).</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3. Kernel Convolution: Multiply by pre-computed kernel spectra in frequency domain. One multiply per kernel per channel.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4. FFT Inverse: Transform back to spatial domain, yielding the potential field U(x) for each channel.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5. Growth Function: Apply G(U) to compute growth/decay rate for each voxel. This is where Gray-Scott chemical concentrations modulate thresholds.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6. Gray-Scott Update: Run one step of reaction-diffusion on the 2-channel chemical field, using 3D Laplacian stencil.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7. Particle Update: For each particle, sample the growth field gradient at its position, apply species interaction forces, apply repulsion, integrate position. Check reproduction/death thresholds.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8. Reproduction/Death: Spawn new particles (with mutated parameters) at reproduction sites. Remove particles at death sites. Update species census.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9. Render Preparation: Generate marching cubes mesh from density field (mid-tier), prepare SDF for ray marching (near-tier), update instance buffers (far-tier).</w:t>
      </w:r>
    </w:p>
    <w:p>
      <w:pPr>
        <w:pStyle w:val="Heading2"/>
        <w:spacing w:after="160" w:before="280"/>
      </w:pPr>
      <w:r>
        <w:rPr>
          <w:rFonts w:ascii="Georgia" w:cs="Georgia" w:eastAsia="Georgia" w:hAnsi="Georgia"/>
          <w:b/>
          <w:bCs/>
          <w:color w:val="FFFFFF"/>
          <w:sz w:val="28"/>
          <w:szCs w:val="28"/>
        </w:rPr>
        <w:t xml:space="preserve">B. Memory Budget (RTX 3090, 24 GB GDDR6X)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Resource</w:t>
            </w:r>
          </w:p>
        </w:tc>
        <w:tc>
          <w:tcPr>
            <w:tcW w:type="dxa" w:w="258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Size (128³)</w:t>
            </w:r>
          </w:p>
        </w:tc>
        <w:tc>
          <w:tcPr>
            <w:tcW w:type="dxa" w:w="2580"/>
            <w:tcBorders>
              <w:top w:val="single" w:color="1A2236" w:sz="1"/>
              <w:left w:val="single" w:color="1A2236" w:sz="1"/>
              <w:bottom w:val="single" w:color="1A2236" w:sz="1"/>
              <w:right w:val="single" w:color="1A2236" w:sz="1"/>
            </w:tcBorders>
            <w:shd w:fill="0F1520" w:val="clear"/>
            <w:tcMar>
              <w:top w:type="dxa" w:w="60"/>
              <w:left w:type="dxa" w:w="100"/>
              <w:bottom w:type="dxa" w:w="60"/>
              <w:right w:type="dxa" w:w="100"/>
            </w:tcMar>
          </w:tcPr>
          <w:p>
            <w:r>
              <w:rPr>
                <w:rFonts w:ascii="Consolas" w:cs="Consolas" w:eastAsia="Consolas" w:hAnsi="Consolas"/>
                <w:b/>
                <w:bCs/>
                <w:color w:val="4ECDC4"/>
                <w:sz w:val="18"/>
                <w:szCs w:val="18"/>
              </w:rPr>
              <w:t xml:space="preserve">Size (256³)</w:t>
            </w:r>
          </w:p>
        </w:tc>
      </w:tr>
      <w:tr>
        <w:tc>
          <w:tcPr>
            <w:tcW w:type="dxa" w:w="4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Lenia field (4 channels, float32, double-buffered)</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64 MB</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512 MB</w:t>
            </w:r>
          </w:p>
        </w:tc>
      </w:tr>
      <w:tr>
        <w:tc>
          <w:tcPr>
            <w:tcW w:type="dxa" w:w="4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Gray-Scott field (2 channels, float32, double-buffered)</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32 MB</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256 MB</w:t>
            </w:r>
          </w:p>
        </w:tc>
      </w:tr>
      <w:tr>
        <w:tc>
          <w:tcPr>
            <w:tcW w:type="dxa" w:w="4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FFT workspace (complex64, 4 channels)</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128 MB</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1024 MB</w:t>
            </w:r>
          </w:p>
        </w:tc>
      </w:tr>
      <w:tr>
        <w:tc>
          <w:tcPr>
            <w:tcW w:type="dxa" w:w="4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Particle buffers (100K particles × 64 bytes)</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6.4 MB</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6.4 MB</w:t>
            </w:r>
          </w:p>
        </w:tc>
      </w:tr>
      <w:tr>
        <w:tc>
          <w:tcPr>
            <w:tcW w:type="dxa" w:w="4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Marching cubes output (dynamic mesh)</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~50 MB</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~200 MB</w:t>
            </w:r>
          </w:p>
        </w:tc>
      </w:tr>
      <w:tr>
        <w:tc>
          <w:tcPr>
            <w:tcW w:type="dxa" w:w="4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Rendering textures + framebuffers</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~200 MB</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D4DAE8"/>
                <w:sz w:val="18"/>
                <w:szCs w:val="18"/>
              </w:rPr>
              <w:t xml:space="preserve">~400 MB</w:t>
            </w:r>
          </w:p>
        </w:tc>
      </w:tr>
      <w:tr>
        <w:tc>
          <w:tcPr>
            <w:tcW w:type="dxa" w:w="420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4ECDC4"/>
                <w:sz w:val="18"/>
                <w:szCs w:val="18"/>
              </w:rPr>
              <w:t xml:space="preserve">TOTAL</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4ECDC4"/>
                <w:sz w:val="18"/>
                <w:szCs w:val="18"/>
              </w:rPr>
              <w:t xml:space="preserve">~480 MB</w:t>
            </w:r>
          </w:p>
        </w:tc>
        <w:tc>
          <w:tcPr>
            <w:tcW w:type="dxa" w:w="2580"/>
            <w:tcBorders>
              <w:top w:val="single" w:color="1A2236" w:sz="1"/>
              <w:left w:val="single" w:color="1A2236" w:sz="1"/>
              <w:bottom w:val="single" w:color="1A2236" w:sz="1"/>
              <w:right w:val="single" w:color="1A2236" w:sz="1"/>
            </w:tcBorders>
            <w:shd w:fill="0A0E17" w:val="clear"/>
            <w:tcMar>
              <w:top w:type="dxa" w:w="60"/>
              <w:left w:type="dxa" w:w="100"/>
              <w:bottom w:type="dxa" w:w="60"/>
              <w:right w:type="dxa" w:w="100"/>
            </w:tcMar>
          </w:tcPr>
          <w:p>
            <w:r>
              <w:rPr>
                <w:rFonts w:ascii="Palatino Linotype" w:cs="Palatino Linotype" w:eastAsia="Palatino Linotype" w:hAnsi="Palatino Linotype"/>
                <w:color w:val="4ECDC4"/>
                <w:sz w:val="18"/>
                <w:szCs w:val="18"/>
              </w:rPr>
              <w:t xml:space="preserve">~2.4 GB</w:t>
            </w:r>
          </w:p>
        </w:tc>
      </w:tr>
    </w:tbl>
    <w:p>
      <w:pPr>
        <w:spacing w:after="0" w:before="120"/>
      </w:pP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Both configurations leave substantial headroom within the RTX 3090’s 24 GB. The primary bottleneck is memory bandwidth (936 GB/s), not capacity or FLOPS (35.58 TFLOPS). Optimizations: use 3D textures (not SSBOs) for hardware texture cache on neighbor reads. Work group size 8×8×4 = 256 threads aligned to NVIDIA’s 32-thread warp. Thread-group ID swizzling for L2 cache locality (documented 47% gain in NVIDIA’s own benchmarks).</w:t>
      </w:r>
    </w:p>
    <w:p>
      <w:pPr>
        <w:pBdr>
          <w:bottom w:val="single" w:color="5A6B8A" w:sz="3" w:space="8"/>
        </w:pBdr>
        <w:spacing w:after="200" w:before="200"/>
      </w:pPr>
    </w:p>
    <w:p>
      <w:pPr>
        <w:pStyle w:val="Heading1"/>
        <w:spacing w:after="160" w:before="400"/>
      </w:pPr>
      <w:r>
        <w:rPr>
          <w:rFonts w:ascii="Georgia" w:cs="Georgia" w:eastAsia="Georgia" w:hAnsi="Georgia"/>
          <w:b/>
          <w:bCs/>
          <w:color w:val="4ECDC4"/>
          <w:sz w:val="36"/>
          <w:szCs w:val="36"/>
        </w:rPr>
        <w:t xml:space="preserve">V. Phased Build Plan</w:t>
      </w:r>
    </w:p>
    <w:p>
      <w:pPr>
        <w:pStyle w:val="Heading2"/>
        <w:spacing w:after="160" w:before="280"/>
      </w:pPr>
      <w:r>
        <w:rPr>
          <w:rFonts w:ascii="Georgia" w:cs="Georgia" w:eastAsia="Georgia" w:hAnsi="Georgia"/>
          <w:b/>
          <w:bCs/>
          <w:color w:val="FFFFFF"/>
          <w:sz w:val="28"/>
          <w:szCs w:val="28"/>
        </w:rPr>
        <w:t xml:space="preserve">Phase 0 — 2D Proof of Life (2–4 weeks)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Goal: Validate the ecological dynamics in 2D before committing to 3D complexity.</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Deliverable: A 2048² Particle Lenia system with 3–5 species, asymmetric interaction matrix, parameter mutation on reproduction, and Gray-Scott coupling. Rendered in WebGPU via Three.js for browser accessibility.</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Key milestones: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2D Lenia with FFT convolution on GPU</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5,000–20,000 particles with per-particle kernel parameters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asymmetric interaction matrix (3×3 species)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Gray-Scott on secondary 2-channel field</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reproduction with parameter mutation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death via starvation and overcrowding</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Observe: does speciation occur? Do predator-prey oscillations emerge? Do organisms develop internal structure via the RD coupling?</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Success criterion: At least two emergent ecological relationships (e.g., predation and competition) visible without being explicitly programmed.</w:t>
      </w:r>
    </w:p>
    <w:p>
      <w:pPr>
        <w:pStyle w:val="Heading2"/>
        <w:spacing w:after="160" w:before="280"/>
      </w:pPr>
      <w:r>
        <w:rPr>
          <w:rFonts w:ascii="Georgia" w:cs="Georgia" w:eastAsia="Georgia" w:hAnsi="Georgia"/>
          <w:b/>
          <w:bCs/>
          <w:color w:val="FFFFFF"/>
          <w:sz w:val="28"/>
          <w:szCs w:val="28"/>
        </w:rPr>
        <w:t xml:space="preserve">Phase 1 — 3D Substrate (4–8 weeks)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Goal: Extend validated 2D dynamics to 3D volumetric space in Godot 4.</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Deliverable: 128³ 3D Lenia + Particle system running at 30+ fps with marching cubes visualization.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Key milestones: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Port Lenia compute shaders to Godot’s RenderingDevice API (Vulkan GLSL)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3D FFT (Stockham algorithm in compute shader, or cuFFT via GDExtension)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3D Gray-Scott with 26-neighbor Laplacian stencil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marching cubes compute pass for isosurface extraction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orbital camera with zoom, fly-through capability</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Profile and optimize: identify bandwidth bottlenecks, tune work group sizes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Success criterion: Organisms visible as coherent 3D structures that move, interact, and reproduce in volumetric space at interactive frame rates.</w:t>
      </w:r>
    </w:p>
    <w:p>
      <w:pPr>
        <w:pStyle w:val="Heading2"/>
        <w:spacing w:after="160" w:before="280"/>
      </w:pPr>
      <w:r>
        <w:rPr>
          <w:rFonts w:ascii="Georgia" w:cs="Georgia" w:eastAsia="Georgia" w:hAnsi="Georgia"/>
          <w:b/>
          <w:bCs/>
          <w:color w:val="FFFFFF"/>
          <w:sz w:val="28"/>
          <w:szCs w:val="28"/>
        </w:rPr>
        <w:t xml:space="preserve">Phase 2 — Ecology Engine (4–6 weeks)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Goal: Rich multi-species ecology with evolutionary dynamics.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Deliverable: 5–15 emergent species coexisting with predation, symbiosis, and niche partitioning.</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Key milestones: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Expand interaction matrix to N×N with dynamic species registration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speciation detection (parameter-space clustering of particle genomes)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environmental heterogeneity (nutrient gradients, temperature zones via spatially varying Lenia parameters)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population tracking and visualization (species census over time, phylogenetic tree)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L-system body plan encoding in particle genomes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space colonization for vascular environmental structures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Success criterion: Spontaneous emergence of at least three trophic levels (producers, herbivores, predators) and at least one mutualistic relationship.</w:t>
      </w:r>
    </w:p>
    <w:p>
      <w:pPr>
        <w:pStyle w:val="Heading2"/>
        <w:spacing w:after="160" w:before="280"/>
      </w:pPr>
      <w:r>
        <w:rPr>
          <w:rFonts w:ascii="Georgia" w:cs="Georgia" w:eastAsia="Georgia" w:hAnsi="Georgia"/>
          <w:b/>
          <w:bCs/>
          <w:color w:val="FFFFFF"/>
          <w:sz w:val="28"/>
          <w:szCs w:val="28"/>
        </w:rPr>
        <w:t xml:space="preserve">Phase 3 — Rendering Ascension (4–6 weeks)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Goal: Transform the simulation into a breathtaking visual experience.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Deliverable: Full three-tier rendering with ray-marched volumetrics, bloom, and bioluminescent aesthetic.</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Key milestones: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SDF ray marching fragment shader for close-up organisms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smooth union blending between nearby organism SDFs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FBM noise displacement for organic surface texture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per-species coloring derived from genome parameters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volumetric lighting / god rays through organism clusters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Add bloom post-processing for bioluminescent glow</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LOD system switching between ray march / marching cubes / point sprites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NanoVDB sparse volume rendering for efficient empty-space skipping</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Success criterion: Screenshots and video that would be indistinguishable from high-end generative art or actual microscopy of deep-ocean organisms.</w:t>
      </w:r>
    </w:p>
    <w:p>
      <w:pPr>
        <w:pStyle w:val="Heading2"/>
        <w:spacing w:after="160" w:before="280"/>
      </w:pPr>
      <w:r>
        <w:rPr>
          <w:rFonts w:ascii="Georgia" w:cs="Georgia" w:eastAsia="Georgia" w:hAnsi="Georgia"/>
          <w:b/>
          <w:bCs/>
          <w:color w:val="FFFFFF"/>
          <w:sz w:val="28"/>
          <w:szCs w:val="28"/>
        </w:rPr>
        <w:t xml:space="preserve">Phase 4 — The Observatory (2–4 weeks)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Goal: The multi-perspective instrument panel from the Ising simulator, extended to 3D.</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Deliverable: Split-view observatory showing the same simulation from multiple perspectives simultaneously — volumetric render, density field cross-sections, species distribution map, phylogenetic tree, population time series, parameter-space visualization.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Key milestones: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2D cross-section views (XY, XZ, YZ slices through the 3D volume)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species-colored density projection (collapsed to 2D via max-projection)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real-time phylogenetic tree rendering</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population dynamics chart (species abundances over time)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Implement parameter-space scatter plot (each organism as a point in kernel-parameter space)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Link all views: clicking an organism in any view highlights it in all views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Success criterion: The controller can see and understand the full state of the ecology at every scale from a single screen.</w:t>
      </w:r>
    </w:p>
    <w:p>
      <w:pPr>
        <w:pStyle w:val="Heading2"/>
        <w:spacing w:after="160" w:before="280"/>
      </w:pPr>
      <w:r>
        <w:rPr>
          <w:rFonts w:ascii="Georgia" w:cs="Georgia" w:eastAsia="Georgia" w:hAnsi="Georgia"/>
          <w:b/>
          <w:bCs/>
          <w:color w:val="FFFFFF"/>
          <w:sz w:val="28"/>
          <w:szCs w:val="28"/>
        </w:rPr>
        <w:t xml:space="preserve">Phase 5 — Conductor’s Interface (2–4 weeks)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Goal: The “in medias reyes” interface — real-time perturbation tools for sculpting the ecology by hand.</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Deliverable: A suite of tools for live manipulation of the system’s parameters across space and time.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Key milestones: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Temperature brush: paint regions of high/low social noise onto the 3D volume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Coupling brush: locally increase/decrease interaction strength</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Field injector: drop positive or negative information field pulses at specific locations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Species seeder: inject new particle species with specified parameters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Extinction tool: remove all particles of a selected species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Parameter sweep conductor: define time-varying parameter trajectories and replay them</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  • Recording system: capture and replay perturbation sequences for reproducible art</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Success criterion: The operator can reliably produce specific ecological/aesthetic outcomes through live perturbation — the system becomes a musical instrument played with parameter dials.</w:t>
      </w:r>
    </w:p>
    <w:p>
      <w:pPr>
        <w:pBdr>
          <w:bottom w:val="single" w:color="5A6B8A" w:sz="3" w:space="8"/>
        </w:pBdr>
        <w:spacing w:after="200" w:before="200"/>
      </w:pPr>
    </w:p>
    <w:p>
      <w:pPr>
        <w:pStyle w:val="Heading1"/>
        <w:spacing w:after="160" w:before="400"/>
      </w:pPr>
      <w:r>
        <w:rPr>
          <w:rFonts w:ascii="Georgia" w:cs="Georgia" w:eastAsia="Georgia" w:hAnsi="Georgia"/>
          <w:b/>
          <w:bCs/>
          <w:color w:val="4ECDC4"/>
          <w:sz w:val="36"/>
          <w:szCs w:val="36"/>
        </w:rPr>
        <w:t xml:space="preserve">VI. Open Research Questions</w:t>
      </w:r>
    </w:p>
    <w:p>
      <w:pPr>
        <w:pStyle w:val="Heading2"/>
        <w:spacing w:after="160" w:before="280"/>
      </w:pPr>
      <w:r>
        <w:rPr>
          <w:rFonts w:ascii="Georgia" w:cs="Georgia" w:eastAsia="Georgia" w:hAnsi="Georgia"/>
          <w:b/>
          <w:bCs/>
          <w:color w:val="FFFFFF"/>
          <w:sz w:val="28"/>
          <w:szCs w:val="28"/>
        </w:rPr>
        <w:t xml:space="preserve">A. Computational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 What is the most efficient 3D FFT implementation in Vulkan compute shaders? Stockham radix-2 is the standard, but multi-radix approaches (radix-4, radix-8) reduce total pass count. Can we exploit the RTX 3090’s tensor cores for the butterfly operations?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2. How do we handle the N-body problem for particle interactions efficiently in 3D? Barnes-Hut tree (O(N log N)) vs. grid-based binning (O(N)) vs. truncated direct sum with spatial hashing? At 100K particles the choice matters.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3. Can we use the Ising model’s Wolff cluster algorithm as a macro-update mechanism for the Particle Lenia system? Flipping entire correlated clusters rather than updating particles individually would be a novel contribution.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4. What is the optimal ratio of Lenia field resolution to particle count? Too many particles per voxel wastes computation; too few produces aliased fields.</w:t>
      </w:r>
    </w:p>
    <w:p>
      <w:pPr>
        <w:pStyle w:val="Heading2"/>
        <w:spacing w:after="160" w:before="280"/>
      </w:pPr>
      <w:r>
        <w:rPr>
          <w:rFonts w:ascii="Georgia" w:cs="Georgia" w:eastAsia="Georgia" w:hAnsi="Georgia"/>
          <w:b/>
          <w:bCs/>
          <w:color w:val="FFFFFF"/>
          <w:sz w:val="28"/>
          <w:szCs w:val="28"/>
        </w:rPr>
        <w:t xml:space="preserve">B. Ecological</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5. Under what conditions does the system exhibit open-ended evolution vs. evolutionary stasis? Tierra’s central failure was convergence to equilibrium. What mechanisms prevent this — environmental change? Spatial heterogeneity? Frequency-dependent selection?</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6. Can the system produce obligate mutualism (organisms that literally cannot survive without their partner species) from initially independent lineages? This would be a strong indicator of genuine ecological richness.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7. What is the minimum interaction matrix dimension that supports a stable food web with three or more trophic levels?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8. How does the Gray-Scott coupling strength affect organism morphology diversity? Is there a critical coupling above which all organisms converge to similar shapes, analogous to a phase transition?</w:t>
      </w:r>
    </w:p>
    <w:p>
      <w:pPr>
        <w:pStyle w:val="Heading2"/>
        <w:spacing w:after="160" w:before="280"/>
      </w:pPr>
      <w:r>
        <w:rPr>
          <w:rFonts w:ascii="Georgia" w:cs="Georgia" w:eastAsia="Georgia" w:hAnsi="Georgia"/>
          <w:b/>
          <w:bCs/>
          <w:color w:val="FFFFFF"/>
          <w:sz w:val="28"/>
          <w:szCs w:val="28"/>
        </w:rPr>
        <w:t xml:space="preserve">C. Aesthetic / Artistic</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9. What perturbation sequences through (T, J, H) parameter space produce the most structurally complex and visually beautiful transient states? This connects to optimal control theory applied to statistical mechanics.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10. Can we define a quantitative aesthetic objective function — perhaps based on multiscale entropy, fractal dimension of organism surfaces, or information-theoretic measures of the cluster size distribution — and optimize perturbation trajectories toward it?</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11. What is the relationship between the “in medias reyes” experience (the operator manually perturbing in real time) and the quality of emergent structures? Is there something the human conductor finds that automated parameter sweeps miss?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12. How do we achieve “critical opalescence” in the 3D rendering — the shimmering, scale-free quality of a system at the edge of a phase transition?</w:t>
      </w:r>
    </w:p>
    <w:p>
      <w:pPr>
        <w:pStyle w:val="Heading2"/>
        <w:spacing w:after="160" w:before="280"/>
      </w:pPr>
      <w:r>
        <w:rPr>
          <w:rFonts w:ascii="Georgia" w:cs="Georgia" w:eastAsia="Georgia" w:hAnsi="Georgia"/>
          <w:b/>
          <w:bCs/>
          <w:color w:val="FFFFFF"/>
          <w:sz w:val="28"/>
          <w:szCs w:val="28"/>
        </w:rPr>
        <w:t xml:space="preserve">D. Theoretical / Connection to Broader Work</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13. How does this system relate to the CLAIRE/Teármann thesis? Specifically: does the mechanistically transparent simulation data produced by Genesis formally collapse underspecification in ML training, as predicted by the manifesto?</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14. Can the Tsarev social phase transition mapping be extended to the ecological dynamics? If organisms are “agents” and the Lenia field is the “information field,” does the superradiant transition predict consensus formation among organisms?</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15. Is the shoal-broadcast architecture — agents swimming through continuous scalar fields rather than passing discrete messages — literally implemented by the Particle Lenia formulation? If so, Genesis IS the shoal-broadcast demonstrator.</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16. Can the Rukha counterfactual engine operate on Genesis’s state space? Given a current ecology, can we ask “what would have happened if species X had not gone extinct?” and have the ctf-calculus provide a formal answer?</w:t>
      </w:r>
    </w:p>
    <w:p>
      <w:pPr>
        <w:pBdr>
          <w:bottom w:val="single" w:color="5A6B8A" w:sz="3" w:space="8"/>
        </w:pBdr>
        <w:spacing w:after="200" w:before="200"/>
      </w:pPr>
    </w:p>
    <w:p>
      <w:pPr>
        <w:pStyle w:val="Heading1"/>
        <w:spacing w:after="160" w:before="400"/>
      </w:pPr>
      <w:r>
        <w:rPr>
          <w:rFonts w:ascii="Georgia" w:cs="Georgia" w:eastAsia="Georgia" w:hAnsi="Georgia"/>
          <w:b/>
          <w:bCs/>
          <w:color w:val="4ECDC4"/>
          <w:sz w:val="36"/>
          <w:szCs w:val="36"/>
        </w:rPr>
        <w:t xml:space="preserve">VII. Key References &amp; Repositories</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Lenia — Bert Chan (2018). “Lenia — Biology of Artificial Life.” arXiv:1812.05433. GitHub: Chakazul/Lenia.</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Particle Lenia — Mordvintsev, Niklasson, Randazzo (Google Research, 2022). “Particle Lenia and the energy-based formulation.”</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Flow-Lenia — Plantec et al. (2025). “Flow-Lenia: Emergent Evolutionary Dynamics in Mass Conservative Continuous Cellular Automata.” Artificial Life 31(2).</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ASAL — Sakana AI (2025). “Automating the Search for Artificial Life with Foundation Models.”</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ALIEN — Christian Heinemann. “Artificial Life Environment.” alien-project.org. GPU-accelerated 2D particle ALife with neural network organisms.</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MNCA — Slackermanz. “Understanding Multiple Neighborhood Cellular Automata.” slackermanz.com.</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Gray-Scott — Pearson (1993). “Complex patterns in a simple system.” Science 261(5118). Parameter map: mrob.com/pub/comp/xmorphia/.</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Turing patterns in 3D — Shoji, Yamada, Ohta (2007). Physical Review E.</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Primordial Particle Systems — Schmickl et al. (2016). “How a life-like system emerges from a simplistic particle motion law.” Scientific Reports 6.</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Neural CA — Mordvintsev et al. (2020). “Growing Neural Cellular Automata.” Distill.</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Tsarev et al. (2019). “Phase transitions, collective emotions and decision-making problem in heterogeneous social systems.” Scientific Reports 9, 18039.</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NanoVDB — Museth (2021). “NanoVDB: A GPU-Friendly and Portable VDB Data Structure.” ACM SIGGRAPH.</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Space Colonization — Runions, Lane, Prusinkiewicz (2007). “Modeling Trees with a Space Colonization Algorithm.” NPH Eurographics.</w:t>
      </w:r>
    </w:p>
    <w:p>
      <w:pPr>
        <w:spacing w:after="160" w:before="0" w:line="312"/>
        <w:jc w:val="left"/>
      </w:pPr>
      <w:r>
        <w:rPr>
          <w:rFonts w:ascii="Palatino Linotype" w:cs="Palatino Linotype" w:eastAsia="Palatino Linotype" w:hAnsi="Palatino Linotype"/>
          <w:b w:val="false"/>
          <w:bCs w:val="false"/>
          <w:i/>
          <w:iCs/>
          <w:color w:val="D4DAE8"/>
          <w:sz w:val="22"/>
          <w:szCs w:val="22"/>
        </w:rPr>
        <w:t xml:space="preserve">Nervous System — Rosenkrantz &amp; Louis-Rosenberg. n-e-r-v-o-u-s.com. Reaction-diffusion jewelry and Floraform differential growth.</w:t>
      </w:r>
    </w:p>
    <w:p>
      <w:pPr>
        <w:pBdr>
          <w:bottom w:val="single" w:color="5A6B8A" w:sz="3" w:space="8"/>
        </w:pBdr>
        <w:spacing w:after="200" w:before="200"/>
      </w:pPr>
    </w:p>
    <w:p>
      <w:pPr>
        <w:pStyle w:val="Heading1"/>
        <w:spacing w:after="160" w:before="400"/>
      </w:pPr>
      <w:r>
        <w:rPr>
          <w:rFonts w:ascii="Georgia" w:cs="Georgia" w:eastAsia="Georgia" w:hAnsi="Georgia"/>
          <w:b/>
          <w:bCs/>
          <w:color w:val="4ECDC4"/>
          <w:sz w:val="36"/>
          <w:szCs w:val="36"/>
        </w:rPr>
        <w:t xml:space="preserve">VIII. The Garden That Builds Itself</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ambition is not modest. This is a system where mathematical organisms spontaneously self-organize from noise, develop internal structure through morphogenetic patterning, reproduce with heritable variation, diversify into ecological niches, form relationships of predation and mutualism, and fill a three-dimensional world that the operator can fly through, perturb, and sculpt in real time.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It connects to every thread of the broader research program. The Ising phase transition simulator is the discrete lattice limit. The shoal-broadcast architecture is literally what Particle Lenia implements. The Cúramóir agents could be seeded with parameters discovered by Genesis’s evolution. The Rukha counterfactual engine could operate on Genesis’s state histories. And the CLAIRE/Teármann thesis — that mechanistically transparent simulation data collapses underspecification in ML training — finds its most complete expression here: every causal pathway in Genesis is observable, every interaction is logged, every counterfactual is computable.</w:t>
      </w:r>
    </w:p>
    <w:p>
      <w:pPr>
        <w:spacing w:after="160" w:before="0" w:line="312"/>
        <w:jc w:val="left"/>
      </w:pPr>
      <w:r>
        <w:rPr>
          <w:rFonts w:ascii="Palatino Linotype" w:cs="Palatino Linotype" w:eastAsia="Palatino Linotype" w:hAnsi="Palatino Linotype"/>
          <w:b w:val="false"/>
          <w:bCs w:val="false"/>
          <w:i w:val="false"/>
          <w:iCs w:val="false"/>
          <w:color w:val="D4DAE8"/>
          <w:sz w:val="22"/>
          <w:szCs w:val="22"/>
        </w:rPr>
        <w:t xml:space="preserve">The garden that builds itself is not a metaphor. It is a technical specification.</w:t>
      </w:r>
    </w:p>
    <w:p>
      <w:pPr>
        <w:spacing w:after="0" w:before="400"/>
      </w:pPr>
    </w:p>
    <w:p>
      <w:pPr>
        <w:jc w:val="center"/>
      </w:pPr>
      <w:r>
        <w:rPr>
          <w:rFonts w:ascii="Georgia" w:cs="Georgia" w:eastAsia="Georgia" w:hAnsi="Georgia"/>
          <w:color w:val="4ECDC4"/>
          <w:sz w:val="36"/>
          <w:szCs w:val="36"/>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5A6B8A"/>
        <w:sz w:val="14"/>
        <w:szCs w:val="14"/>
      </w:rPr>
      <w:t xml:space="preserve">Page </w:t>
    </w:r>
    <w:r>
      <w:rPr>
        <w:rFonts w:ascii="Consolas" w:cs="Consolas" w:eastAsia="Consolas" w:hAnsi="Consolas"/>
        <w:color w:val="5A6B8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5A6B8A"/>
        <w:sz w:val="14"/>
        <w:szCs w:val="14"/>
      </w:rPr>
      <w:t xml:space="preserve">GENESIS — Technical Manifesto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D4DA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color w:val="4ECDC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FFFFFF"/>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D4DA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2026-04-06T04:07:34.056Z</dcterms:created>
  <dcterms:modified xsi:type="dcterms:W3CDTF">2026-04-06T04:07:34.057Z</dcterms:modified>
</cp:coreProperties>
</file>

<file path=docProps/custom.xml><?xml version="1.0" encoding="utf-8"?>
<Properties xmlns="http://schemas.openxmlformats.org/officeDocument/2006/custom-properties" xmlns:vt="http://schemas.openxmlformats.org/officeDocument/2006/docPropsVTypes"/>
</file>