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93"/>
        </w:tabs>
        <w:spacing w:line="276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5: «Инвестиционная и инновационная деятельность организации»</w:t>
      </w:r>
    </w:p>
    <w:p w:rsidR="00000000" w:rsidDel="00000000" w:rsidP="00000000" w:rsidRDefault="00000000" w:rsidRPr="00000000" w14:paraId="00000002">
      <w:pPr>
        <w:tabs>
          <w:tab w:val="left" w:leader="none" w:pos="993"/>
        </w:tabs>
        <w:spacing w:line="276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93"/>
        </w:tabs>
        <w:spacing w:line="276" w:lineRule="auto"/>
        <w:ind w:firstLine="709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Содержание учебного материала:</w:t>
      </w:r>
      <w:r w:rsidDel="00000000" w:rsidR="00000000" w:rsidRPr="00000000">
        <w:rPr>
          <w:i w:val="1"/>
          <w:rtl w:val="0"/>
        </w:rPr>
        <w:t xml:space="preserve"> Понятие и виды инвестиций.  Источники инвестиций.  Инновационная деятельность организации. Инвестиционная деятельность организации. Понятие и направления использования капитальных вложений. Подходы к оценке эффективности инвестиций. </w:t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инновационной деятельности предприятия характеризуется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его способностью воспринимать и использовать научный, научно-технический и интеллектуальный потенциал, накопленный в данной отрасли как на российском, так и на международном уровне. Основу инновационной деятельности предприятия составляет перевод производства на изготовление принципиально новой техники, применение новых технологий, оказание новых видов услуг.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Иными словами, сущность инновационной деятельности состоит в поиске новых идей в области техники, технологии и организации производства. Эта цель достигается в ходе выполнения поисковых, фундаментальных, теоретических, научно-исследовательских и опытно-конструкторских работ, которые заканчиваются разработкой проекта по товаропродвижению нововведений. Выполнение работ в рамках инновационной деятельности включает самостоятельную разработку нововведений, а также их приобретение, лицензирование, патентование и распространение собственных инновационных идей.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расходы, направленные в активы (имущество) предприятия с целью его замены, увеличения или получения дополнительного дохода.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Классификация инвестиций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  <w:rtl w:val="0"/>
        </w:rPr>
        <w:t xml:space="preserve">А) Виды инвестиций, в зависимости от объекта инвестирования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По роду объекта инвестирования рассматривают инвестиции реальные (прямые) и финансовые (портфельные).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реальным инвестициям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относится инвестирование в реальные материальные и нематериальные активы, к которым можно причислить основной и оборотный капитал или интеллектуальную собственность. В большинстве случаев – это долгосрочное инвестирование в  основные фонды (иначе эти инвестиции  называются  капитальными вложениями).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финансовому (портфельному) инвестированию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относятся все виды инвестиций, которые направлены на непосредственное получение дохода.   В этом случае объектами инвестирования выступают: валюта, акции, драгоценные металлы, облигации и другие ценные бумаги. Такой вид инвестирования, как правило, приносит прибыль из двух источников: регулярной выплаты дивидендов и дохода от увеличения первоначальной стоимости объектов инвестирования, получаемого при их реализации.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И каждый инвестор задумывается на предмет того, выбрать один вид инвестиций или создать инвестиционный портфель, в который будут входить несколько видов инвестиций, относящихся к абсолютно разным сферам экономики и отраслям. Как правило, разумные инвесторы, выбирают вариант с инвестиционным портфелем. Отсюда и второе название финансовых инвестиций – портфельные.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  <w:rtl w:val="0"/>
        </w:rPr>
        <w:t xml:space="preserve">Б) Инвестиции по характеру участия в инвестировании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По характеру участие в инвестировании различают следующие виды инвестиций: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Прямые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, когда непосредственно инвестор принимает участие в отборе объектов инвестирования. Также под прямыми инвестициями может подразумеваться инвестирование в уставной капитал хозяйствующего субъекта, с целью извлечения дохода и получения прав на участие в управлении объектом инвестирования.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Косвенные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– когда объекты инвестирования определяет не сам владелец инвестируемого капитала, а различные инвестиционные фонды, консультанты, компании, паевые фонды и другие финансовые учреждения.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  <w:rtl w:val="0"/>
        </w:rPr>
        <w:t xml:space="preserve">В) Классификация инвестиций в зависимости от сроков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По срокам инвестирования предусмотрено разделение инвестиций на: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Краткосрочные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– средства инвестируются на срок не более одного года.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Среднесрочные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– срок инвестирования от одного до пяти лет.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Долгосрочные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 – инвестирование средств на срок более пяти лет.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35"/>
          <w:sz w:val="22"/>
          <w:szCs w:val="22"/>
          <w:u w:val="none"/>
          <w:shd w:fill="auto" w:val="clear"/>
          <w:vertAlign w:val="baseline"/>
          <w:rtl w:val="0"/>
        </w:rPr>
        <w:t xml:space="preserve">Г) Виды инвестиций в зависимости от доходности инвестирования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В зависимости от доходности инвестиции делятся на: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Высокодоходные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, которые отличаются высоким уровнем дохода, существенно превышающим средний показатель доходности на инвестиционном рынке.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Среднедоходные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, чистая инвестиционная прибыль по которым приблизительно равна средней доходности на инвестиционном рынке.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Низкодоходные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, доходность по которым меньше, нежели средняя норма прибыли на рынке.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Бездоходные инвестиции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, которые осуществляются не с целью получения прибыли, которой собственно по этих видах вложений не имеется. Такое инвестирование в основном преследует цели получения социального, экологического или любого другого внеэкономического эффекта.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инвестиций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Задание № 1</w:t>
      </w:r>
      <w:r w:rsidDel="00000000" w:rsidR="00000000" w:rsidRPr="00000000">
        <w:rPr>
          <w:rtl w:val="0"/>
        </w:rPr>
        <w:t xml:space="preserve">. Распределить конкретные источники инвестиций на собственные, заемные и привлеченные: Амортизационный фонд, банковский кредит, выпуск акций, прибыль предприятия, выпуск векселей и облигаций, иностранные инвестиции, страховые возмещения, аренда и лизинг, венчурный капитал.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0"/>
        <w:gridCol w:w="3233"/>
        <w:gridCol w:w="3253"/>
        <w:tblGridChange w:id="0">
          <w:tblGrid>
            <w:gridCol w:w="3250"/>
            <w:gridCol w:w="3233"/>
            <w:gridCol w:w="3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Внутренние (собственные) средства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Внешние (заемные) средства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Привлеченные средства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Амортизационный фонд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Банковский кредит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Выпуск акций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Прибыль предприятия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Выпуск векселей и облигаций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Иностранные инвестиции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Страховые возмещения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Аренда и лизинг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Венчурный капитал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Капитальные вложения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вложения денежных средств в покупку, строительство объектов основных фондов, техническое перевооружение, реконструкцию и модернизацию основных фондов.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Направления  использования капитальных вложений: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перевооружение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замена старой техники на новую (активной части основных фондов) без расширения производственной площади;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Реконструкция производства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замена устаревшего оборудования и перестройка зданий и сооружений;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Модернизация 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это работы, в результате которых появляется  возможность его использования с повышенными нагрузками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монтажные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создание новых цехов, зданий, сооружений и установка оборудования.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Подходы к оценке эффективности инвестиций.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целесообразности вложения капитала и сравнения вариантов проектов оценивают эффективность инвестиционных проектов. 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этого используют несколько подходов, основными из которых являются: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А) Сравнение норм доходности инвестиций с безрисковыми (безрисковыми инвестициями считают вложения в государственные ценные бумаги);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Б) Сравнение цены спроса с ценой предложения (инвестиционная привлекательность проекта увеличивается при превышении цены спроса над ценой предложения);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В) Способ, основанный на методике дисконтирования. 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Дисконтирование</w:t>
      </w:r>
      <w:r w:rsidDel="00000000" w:rsidR="00000000" w:rsidRPr="00000000">
        <w:rPr>
          <w:rtl w:val="0"/>
        </w:rPr>
        <w:t xml:space="preserve"> – процесс, обратный начислению сложных ссудных процентов или процесс приведения разновременных доходов и расходов к одному моменту времени.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Поскольку стоимость денег во времени различная, нужно определить дисконтированные денежные потоки (настоящую стоимость денег во времени), получаемые инвестором при реализации проекта. Для этого можно: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Денежный поток умножать на дисконтирующий множитель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ДП х kд,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ДП –денежный поток (чистая прибыль + амортизация)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kд – дисконтирующий множитель, который определяется по формуле: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kд = 1/ (1+r)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r  - ставка дисконта в коэффициентах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порядковый номер периода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Дисконтировать денежный поток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ДП / (1+r)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известна величина доходов в настоящий момент времени, а нужно определить в будущем,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ДП х (1+r)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Задание№2. </w:t>
      </w:r>
      <w:r w:rsidDel="00000000" w:rsidR="00000000" w:rsidRPr="00000000">
        <w:rPr>
          <w:rtl w:val="0"/>
        </w:rPr>
        <w:t xml:space="preserve">Предприниматель имеет в собственности недвижимость, которая по прогнозам аналитиков через 3 года будет стоить 6 млн. руб. Выгодно ли ему продать объект сейчас за 4,5 млн. руб. и вложить полученные средства под 7% годовых.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Предпринимателю не выгодно продавать объект сейчас за стоиомсть меньше чем 4,89 млн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БС = 4.5 * (1+0.07)³=5.51 млн руб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НМ = 6/(1+0.07)³ = 4.89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Показатели, определяемые на основании использования концепции дисконтирования: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NPV, или Net Present Value. Чистая текущая стоимость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показатель равен разнице между суммой имеющихся в данный момент времени денежных поступлений и суммой необходимых денежных выплат на погашение кредитных обязательств, инвестиций или на финансирование текущих потребностей проекта. Разница рассчитывается исходя из фиксированной ставки дисконтирования.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N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NPV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8600" cy="228600"/>
            <wp:effectExtent b="0" l="0" r="0" t="0"/>
            <wp:docPr descr="Картинки по запросу сумма" id="1" name="image1.png"/>
            <a:graphic>
              <a:graphicData uri="http://schemas.openxmlformats.org/drawingml/2006/picture">
                <pic:pic>
                  <pic:nvPicPr>
                    <pic:cNvPr descr="Картинки по запросу сумм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(ДП / (1+r)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  I,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t=1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ДП – денежный поток, тыс. руб.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–  ставка дисконтирования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порядковый номер периода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– размер инвестиций, тыс. руб.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целом, NPV — это результат, который можно получить незамедлительно, после того, как решение об осуществлении проекта принято. Чистая текущая стоимость рассчитывается без учета фактора времени.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Показатель NPV сразу дает возможность оценить перспективы проекта: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больше нуля — проект принесет инвесторам прибыль;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равен нулю — возможно увеличение объемов выпуска продукции без риска снижения прибыли инвесторов;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нуля — возможны убытки для инвесторов.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IRR, или внутренняя норма прибыли (рентабельности).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shd w:fill="ffffff" w:val="clear"/>
        <w:spacing w:after="24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Данный показатель рассчитывается в зависимости от величины NPV. IRR — это максимально возможная стоимость инвестиций, а также уровень допустимых расходов по конкретному проекту.</w:t>
      </w:r>
    </w:p>
    <w:p w:rsidR="00000000" w:rsidDel="00000000" w:rsidP="00000000" w:rsidRDefault="00000000" w:rsidRPr="00000000" w14:paraId="00000078">
      <w:pPr>
        <w:shd w:fill="ffffff" w:val="clear"/>
        <w:spacing w:after="240"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 примеру, при финансировании старта бизнеса на деньги, взятые в виде банковской ссуды, IRR — это максимальный уровень процентной ставки банка. Ставка даже ненамного выше сделает проект заведомо убыточным. Экономический смысл расчета данного показателя состоит в том, что автор проекта или руководитель фирмы может принимать разнообразные инвестиционные решения, имея четкие рамки, за которые нельзя выходить. Уровень рентабельности инвестиционных решений не должен быть ниже показателя СС — цены источника финансирования. Сравнивая IRR с СС, получаем зависимости: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IRR больше СС</w:t>
      </w:r>
      <w:r w:rsidDel="00000000" w:rsidR="00000000" w:rsidRPr="00000000">
        <w:rPr>
          <w:color w:val="000000"/>
          <w:rtl w:val="0"/>
        </w:rPr>
        <w:t xml:space="preserve"> — проект стоит принять во внимание и профинансировать;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IRR меньше СС</w:t>
      </w:r>
      <w:r w:rsidDel="00000000" w:rsidR="00000000" w:rsidRPr="00000000">
        <w:rPr>
          <w:color w:val="000000"/>
          <w:rtl w:val="0"/>
        </w:rPr>
        <w:t xml:space="preserve"> — от реализации необходимо отказаться по причине убыточности;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IRR равен СС</w:t>
      </w:r>
      <w:r w:rsidDel="00000000" w:rsidR="00000000" w:rsidRPr="00000000">
        <w:rPr>
          <w:color w:val="000000"/>
          <w:rtl w:val="0"/>
        </w:rPr>
        <w:t xml:space="preserve"> — грань прибыльности и убыточности, необходима доработка.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PI, или Profitability Index. Индекс прибыльности инвестиций.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Индекс прибыльности (PI) рассчитывается как отношение приведенной величины поступлений к приведенной величине платежей.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взять в расчет показатель I, который равен вложениям в проект, то индекс прибыльности инвестиций рассчитывается по формуле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 = ∑PV / I.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рассмотрения нескольких инвестпроектов PI можно использовать в качестве показателя, позволяющего «отсеять» неэффективные предложения. Если значение показателя PI равно или меньше единицы, проект не сможет принести необходимый доход и рост инвестиционного капитала, поэтому от его реализации стоит отказаться.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целом, возможны три варианта действий, основываясь на значении индекса прибыльности инвестиций (PI):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больше одного — данный вариант рентабелен, его стоит принять в реализацию;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меньше одного — проект неприемлем, так как инвестиции не приведут к образованию требуемой ставки отдачи;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равен одному — данное направление инвестирования максимально точно удовлетворяет избранной ставке отдачи.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tab/>
        <w:t xml:space="preserve">Определить чистую приведенную стоимость проекта (NPV) и рентабельность инвестиций (PI) на основании данных, представленных в таблице: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1417"/>
        <w:gridCol w:w="1418"/>
        <w:gridCol w:w="1417"/>
        <w:gridCol w:w="1382"/>
        <w:tblGridChange w:id="0">
          <w:tblGrid>
            <w:gridCol w:w="3936"/>
            <w:gridCol w:w="1417"/>
            <w:gridCol w:w="1418"/>
            <w:gridCol w:w="1417"/>
            <w:gridCol w:w="138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 реализации проекта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Чистая прибыль,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Амортизация,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Ставка дисконтирования,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инвестиций,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0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NPV = (900 + 200) / (1+0.15)¹ + 3500 + 400 / (1 + 0.15)² + 4600 /(1+0.15)³ + 5600 / (1+0.15)⁴ - 8000 = 2 131 тыс руб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= 10131 / 8000 = 1.27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Определить чистую приведенную стоимость проекта (NPV) и рентабельность инвестиций (PI) на основании данных, представленных в таблице: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3"/>
        <w:gridCol w:w="1383"/>
        <w:gridCol w:w="1376"/>
        <w:gridCol w:w="1383"/>
        <w:gridCol w:w="1350"/>
        <w:tblGridChange w:id="0">
          <w:tblGrid>
            <w:gridCol w:w="3853"/>
            <w:gridCol w:w="1383"/>
            <w:gridCol w:w="1376"/>
            <w:gridCol w:w="1383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 реализации проекта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Чистая прибыль,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Амортизация,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Дисконтирующий множитель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 инвестиций,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rHeight w:val="1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700*0.98+1100*0.95+2500*0.9+3800*0.88-5000 = 2 325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7325 / 5000 = 1,46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№5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Какой вариант вложений в 2,5 млн. руб. предпочтительнее при ставке 10% годовых?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2"/>
        <w:gridCol w:w="2392"/>
        <w:gridCol w:w="2393"/>
        <w:gridCol w:w="2457"/>
        <w:tblGridChange w:id="0">
          <w:tblGrid>
            <w:gridCol w:w="2392"/>
            <w:gridCol w:w="2392"/>
            <w:gridCol w:w="2393"/>
            <w:gridCol w:w="245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Распределение доходов, тыс. руб.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вариант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вариант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вариант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4"/>
        <w:tblGridChange w:id="0">
          <w:tblGrid>
            <w:gridCol w:w="9634"/>
          </w:tblGrid>
        </w:tblGridChange>
      </w:tblGrid>
      <w:tr>
        <w:trPr>
          <w:cantSplit w:val="0"/>
          <w:trHeight w:val="16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Ни в какой так везде NPV отрицательный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№6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Определить чистую приведенную стоимость проекта (NPV) и рентабельность инвестиций (PI) при ставке дисконтирования в 10% на основании данных, представленных в таблице:</w:t>
      </w:r>
    </w:p>
    <w:tbl>
      <w:tblPr>
        <w:tblStyle w:val="Table9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1388"/>
        <w:gridCol w:w="1389"/>
        <w:gridCol w:w="1388"/>
        <w:gridCol w:w="1644"/>
        <w:tblGridChange w:id="0">
          <w:tblGrid>
            <w:gridCol w:w="3825"/>
            <w:gridCol w:w="1388"/>
            <w:gridCol w:w="1389"/>
            <w:gridCol w:w="1388"/>
            <w:gridCol w:w="164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Годы реализации проекта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Выручка от продажи продукции,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Себестоимость продукции,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Прибыль от продажи,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 на прибыль, %.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 на прибыль,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Чистая прибыль,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Амортизация,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 инвестиций, 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4"/>
        <w:tblGridChange w:id="0">
          <w:tblGrid>
            <w:gridCol w:w="9634"/>
          </w:tblGrid>
        </w:tblGridChange>
      </w:tblGrid>
      <w:tr>
        <w:trPr>
          <w:cantSplit w:val="0"/>
          <w:trHeight w:val="1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2100 ÷ 1.1¹ + 2100 ÷ 1.1² + 3700 ÷ 1.1³ + 4500 ÷ 1.1⁴.= 4 498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9498/5000 = 1.9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 посоветовать предприниме елю если он владеет запасом древесины на “корню”. По прогнозам аналитиков он сможет продать делянку за 8 миллионов, но через 4 года. Выгодно ли ему продать товар сейчас за 6.3 млн и вырученные деньги положить в банк под 13% годовых.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6.3 *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3"/>
        <w:szCs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  <w:b w:val="1"/>
        <w:color w:val="000000"/>
        <w:sz w:val="23"/>
        <w:szCs w:val="23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3"/>
        <w:szCs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