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CCE45" w14:textId="77777777" w:rsidR="007B25BC" w:rsidRDefault="007B25BC" w:rsidP="007B25BC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211B7E6" wp14:editId="5CC8CD37">
            <wp:extent cx="3514286" cy="7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der's Holding Document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F871" w14:textId="77777777" w:rsidR="00FA77E3" w:rsidRPr="007B25BC" w:rsidRDefault="00417773" w:rsidP="007B25BC">
      <w:pPr>
        <w:jc w:val="center"/>
        <w:rPr>
          <w:b/>
          <w:sz w:val="36"/>
          <w:szCs w:val="36"/>
        </w:rPr>
      </w:pPr>
      <w:r w:rsidRPr="007B25BC">
        <w:rPr>
          <w:b/>
          <w:sz w:val="36"/>
          <w:szCs w:val="36"/>
        </w:rPr>
        <w:t>Solutions Center Extended Warranty Allowance</w:t>
      </w:r>
    </w:p>
    <w:p w14:paraId="5494FCE9" w14:textId="77777777" w:rsidR="00417773" w:rsidRDefault="00417773" w:rsidP="007B25BC">
      <w:pPr>
        <w:spacing w:before="240"/>
      </w:pPr>
      <w:r>
        <w:t xml:space="preserve">The Solutions Center has the task of protecting company assets while exceeding </w:t>
      </w:r>
      <w:r w:rsidR="00D32A54">
        <w:t>guests’</w:t>
      </w:r>
      <w:r>
        <w:t xml:space="preserve"> expectations.  This is not always </w:t>
      </w:r>
      <w:r w:rsidR="007B25BC">
        <w:t>possible,</w:t>
      </w:r>
      <w:r>
        <w:t xml:space="preserve"> but the Solutions Center Extended Warranty Allowance is a tool to support this effort.  </w:t>
      </w:r>
    </w:p>
    <w:p w14:paraId="72B76C21" w14:textId="77777777" w:rsidR="00417773" w:rsidRDefault="00417773"/>
    <w:p w14:paraId="01BC2700" w14:textId="77777777" w:rsidR="00417773" w:rsidRDefault="00417773" w:rsidP="00417773">
      <w:pPr>
        <w:pStyle w:val="ListParagraph"/>
        <w:numPr>
          <w:ilvl w:val="0"/>
          <w:numId w:val="1"/>
        </w:numPr>
      </w:pPr>
      <w:r>
        <w:t xml:space="preserve">At the Solutions Center team members </w:t>
      </w:r>
      <w:r w:rsidR="007B25BC">
        <w:t>discretion,</w:t>
      </w:r>
      <w:r>
        <w:t xml:space="preserve"> they may extend a </w:t>
      </w:r>
      <w:r w:rsidR="007B25BC">
        <w:t>manufacturer’s</w:t>
      </w:r>
      <w:r>
        <w:t xml:space="preserve"> warranty as follows. Warranty periods start from the the date of delivery for the original purchaser.  </w:t>
      </w:r>
    </w:p>
    <w:p w14:paraId="2A30EBF7" w14:textId="77777777" w:rsidR="00417773" w:rsidRDefault="00417773" w:rsidP="00417773">
      <w:pPr>
        <w:pStyle w:val="ListParagraph"/>
        <w:numPr>
          <w:ilvl w:val="0"/>
          <w:numId w:val="1"/>
        </w:numPr>
      </w:pPr>
      <w:r>
        <w:t xml:space="preserve">Replacement of an item under a warranty claim does not restart the warranty period.  </w:t>
      </w:r>
    </w:p>
    <w:p w14:paraId="31D928B8" w14:textId="77777777" w:rsidR="00417773" w:rsidRDefault="00417773" w:rsidP="00417773">
      <w:pPr>
        <w:pStyle w:val="ListParagraph"/>
        <w:numPr>
          <w:ilvl w:val="0"/>
          <w:numId w:val="1"/>
        </w:numPr>
      </w:pPr>
      <w:r>
        <w:t>Items in contract use have different warranty periods than residential use.</w:t>
      </w:r>
    </w:p>
    <w:p w14:paraId="72FBD7FC" w14:textId="77777777" w:rsidR="00417773" w:rsidRDefault="00417773" w:rsidP="007B25BC">
      <w:pPr>
        <w:spacing w:after="840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7B25BC" w14:paraId="5D559D3A" w14:textId="77777777" w:rsidTr="007B25BC">
        <w:tc>
          <w:tcPr>
            <w:tcW w:w="2875" w:type="dxa"/>
            <w:shd w:val="clear" w:color="auto" w:fill="3B3838" w:themeFill="background2" w:themeFillShade="40"/>
          </w:tcPr>
          <w:p w14:paraId="4299C0C7" w14:textId="77777777" w:rsidR="007B25BC" w:rsidRPr="007B25BC" w:rsidRDefault="007B25BC">
            <w:pPr>
              <w:rPr>
                <w:b/>
                <w:color w:val="FFFFFF" w:themeColor="background1"/>
              </w:rPr>
            </w:pPr>
            <w:r w:rsidRPr="007B25BC">
              <w:rPr>
                <w:b/>
                <w:color w:val="FFFFFF" w:themeColor="background1"/>
              </w:rPr>
              <w:t>Time Past Warranty Period</w:t>
            </w:r>
          </w:p>
        </w:tc>
        <w:tc>
          <w:tcPr>
            <w:tcW w:w="6480" w:type="dxa"/>
            <w:shd w:val="clear" w:color="auto" w:fill="3B3838" w:themeFill="background2" w:themeFillShade="40"/>
          </w:tcPr>
          <w:p w14:paraId="1F85713B" w14:textId="77777777" w:rsidR="007B25BC" w:rsidRPr="007B25BC" w:rsidRDefault="007B25BC">
            <w:pPr>
              <w:rPr>
                <w:b/>
                <w:color w:val="FFFFFF" w:themeColor="background1"/>
              </w:rPr>
            </w:pPr>
            <w:r w:rsidRPr="007B25BC">
              <w:rPr>
                <w:b/>
                <w:color w:val="FFFFFF" w:themeColor="background1"/>
              </w:rPr>
              <w:t>Customer Loyalty Solutions Center Extended Warranty</w:t>
            </w:r>
          </w:p>
        </w:tc>
      </w:tr>
      <w:tr w:rsidR="007B25BC" w14:paraId="12BC798D" w14:textId="77777777" w:rsidTr="007B25BC">
        <w:tc>
          <w:tcPr>
            <w:tcW w:w="2875" w:type="dxa"/>
          </w:tcPr>
          <w:p w14:paraId="387DAE23" w14:textId="77777777" w:rsidR="007B25BC" w:rsidRDefault="007B25BC" w:rsidP="007B25BC">
            <w:pPr>
              <w:jc w:val="center"/>
            </w:pPr>
            <w:r>
              <w:t>0 to 6 Months</w:t>
            </w:r>
          </w:p>
        </w:tc>
        <w:tc>
          <w:tcPr>
            <w:tcW w:w="6480" w:type="dxa"/>
          </w:tcPr>
          <w:p w14:paraId="488E360D" w14:textId="77777777" w:rsidR="007B25BC" w:rsidRDefault="007B25BC" w:rsidP="007B25BC">
            <w:pPr>
              <w:ind w:firstLine="12"/>
            </w:pPr>
            <w:r>
              <w:t>Full Manufacturer’s warranty</w:t>
            </w:r>
          </w:p>
        </w:tc>
      </w:tr>
      <w:tr w:rsidR="007B25BC" w14:paraId="0F6A78F8" w14:textId="77777777" w:rsidTr="007B25BC">
        <w:tc>
          <w:tcPr>
            <w:tcW w:w="2875" w:type="dxa"/>
          </w:tcPr>
          <w:p w14:paraId="638FCE1E" w14:textId="77777777" w:rsidR="007B25BC" w:rsidRDefault="007B25BC" w:rsidP="007B25BC">
            <w:pPr>
              <w:jc w:val="center"/>
            </w:pPr>
            <w:r>
              <w:t>6 Months to 1 Year</w:t>
            </w:r>
          </w:p>
        </w:tc>
        <w:tc>
          <w:tcPr>
            <w:tcW w:w="6480" w:type="dxa"/>
          </w:tcPr>
          <w:p w14:paraId="1EE34212" w14:textId="520340D0" w:rsidR="007B25BC" w:rsidRDefault="00927663">
            <w:r>
              <w:t xml:space="preserve">20% Commercial 50-99 Pieces </w:t>
            </w:r>
            <w:r w:rsidR="007B25BC">
              <w:t>Pricing for replacement</w:t>
            </w:r>
          </w:p>
        </w:tc>
      </w:tr>
      <w:tr w:rsidR="007B25BC" w14:paraId="5BD48F33" w14:textId="77777777" w:rsidTr="007B25BC">
        <w:tc>
          <w:tcPr>
            <w:tcW w:w="2875" w:type="dxa"/>
          </w:tcPr>
          <w:p w14:paraId="02AF8010" w14:textId="77777777" w:rsidR="007B25BC" w:rsidRDefault="007B25BC" w:rsidP="007B25BC">
            <w:pPr>
              <w:jc w:val="center"/>
            </w:pPr>
            <w:r>
              <w:t>1 Year to 2 Years</w:t>
            </w:r>
          </w:p>
        </w:tc>
        <w:tc>
          <w:tcPr>
            <w:tcW w:w="6480" w:type="dxa"/>
          </w:tcPr>
          <w:p w14:paraId="21D0A19C" w14:textId="649083AE" w:rsidR="007B25BC" w:rsidRDefault="00927663">
            <w:r>
              <w:t xml:space="preserve">15% </w:t>
            </w:r>
            <w:proofErr w:type="gramStart"/>
            <w:r>
              <w:t xml:space="preserve">Commercial </w:t>
            </w:r>
            <w:r>
              <w:t xml:space="preserve"> 25</w:t>
            </w:r>
            <w:proofErr w:type="gramEnd"/>
            <w:r>
              <w:t xml:space="preserve">-49 Pieces </w:t>
            </w:r>
            <w:r w:rsidR="007B25BC">
              <w:t>Pricing for replacement</w:t>
            </w:r>
          </w:p>
        </w:tc>
      </w:tr>
      <w:tr w:rsidR="007B25BC" w14:paraId="05BC9882" w14:textId="77777777" w:rsidTr="007B25BC">
        <w:tc>
          <w:tcPr>
            <w:tcW w:w="2875" w:type="dxa"/>
          </w:tcPr>
          <w:p w14:paraId="04868AD9" w14:textId="77777777" w:rsidR="007B25BC" w:rsidRDefault="007B25BC" w:rsidP="007B25BC">
            <w:pPr>
              <w:jc w:val="center"/>
            </w:pPr>
            <w:r>
              <w:t>2 years to 3 Years</w:t>
            </w:r>
          </w:p>
        </w:tc>
        <w:tc>
          <w:tcPr>
            <w:tcW w:w="6480" w:type="dxa"/>
          </w:tcPr>
          <w:p w14:paraId="388948DA" w14:textId="3A012638" w:rsidR="007B25BC" w:rsidRDefault="00927663">
            <w:r>
              <w:t xml:space="preserve">10% </w:t>
            </w:r>
            <w:proofErr w:type="gramStart"/>
            <w:r>
              <w:t xml:space="preserve">Commercial </w:t>
            </w:r>
            <w:r>
              <w:t xml:space="preserve"> 0</w:t>
            </w:r>
            <w:proofErr w:type="gramEnd"/>
            <w:r>
              <w:t xml:space="preserve">-24 Pieces </w:t>
            </w:r>
            <w:r w:rsidR="007B25BC">
              <w:t xml:space="preserve">Pricing for replacement </w:t>
            </w:r>
          </w:p>
        </w:tc>
      </w:tr>
    </w:tbl>
    <w:p w14:paraId="2F336761" w14:textId="77777777" w:rsidR="00417773" w:rsidRDefault="00417773"/>
    <w:sectPr w:rsidR="0041777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E4FCF" w14:textId="77777777" w:rsidR="007B25BC" w:rsidRDefault="007B25BC" w:rsidP="007B25BC">
      <w:r>
        <w:separator/>
      </w:r>
    </w:p>
  </w:endnote>
  <w:endnote w:type="continuationSeparator" w:id="0">
    <w:p w14:paraId="0AE367B9" w14:textId="77777777" w:rsidR="007B25BC" w:rsidRDefault="007B25BC" w:rsidP="007B2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76895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32FD254" w14:textId="77777777" w:rsidR="007B25BC" w:rsidRDefault="007B25B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1CA4CB71" w14:textId="77777777" w:rsidR="007B25BC" w:rsidRPr="007B25BC" w:rsidRDefault="007B25BC" w:rsidP="007B25BC">
    <w:pPr>
      <w:pStyle w:val="Footer"/>
      <w:jc w:val="right"/>
      <w:rPr>
        <w:color w:val="808080" w:themeColor="background1" w:themeShade="80"/>
        <w:sz w:val="16"/>
        <w:szCs w:val="16"/>
      </w:rPr>
    </w:pPr>
    <w:r w:rsidRPr="007B25BC">
      <w:rPr>
        <w:color w:val="808080" w:themeColor="background1" w:themeShade="80"/>
        <w:sz w:val="16"/>
        <w:szCs w:val="16"/>
      </w:rPr>
      <w:fldChar w:fldCharType="begin"/>
    </w:r>
    <w:r w:rsidRPr="007B25BC">
      <w:rPr>
        <w:color w:val="808080" w:themeColor="background1" w:themeShade="80"/>
        <w:sz w:val="16"/>
        <w:szCs w:val="16"/>
      </w:rPr>
      <w:instrText xml:space="preserve"> FILENAME   \* MERGEFORMAT </w:instrText>
    </w:r>
    <w:r w:rsidRPr="007B25BC">
      <w:rPr>
        <w:color w:val="808080" w:themeColor="background1" w:themeShade="80"/>
        <w:sz w:val="16"/>
        <w:szCs w:val="16"/>
      </w:rPr>
      <w:fldChar w:fldCharType="separate"/>
    </w:r>
    <w:r w:rsidR="00D32A54">
      <w:rPr>
        <w:noProof/>
        <w:color w:val="808080" w:themeColor="background1" w:themeShade="80"/>
        <w:sz w:val="16"/>
        <w:szCs w:val="16"/>
      </w:rPr>
      <w:t>Solutions Center Extended Warranty Allowance</w:t>
    </w:r>
    <w:r w:rsidRPr="007B25BC">
      <w:rPr>
        <w:color w:val="808080" w:themeColor="background1" w:themeShade="80"/>
        <w:sz w:val="16"/>
        <w:szCs w:val="16"/>
      </w:rPr>
      <w:fldChar w:fldCharType="end"/>
    </w:r>
  </w:p>
  <w:p w14:paraId="791D693E" w14:textId="77777777" w:rsidR="007B25BC" w:rsidRPr="007B25BC" w:rsidRDefault="007B25BC" w:rsidP="007B25BC">
    <w:pPr>
      <w:pStyle w:val="Footer"/>
      <w:jc w:val="right"/>
      <w:rPr>
        <w:color w:val="808080" w:themeColor="background1" w:themeShade="80"/>
        <w:sz w:val="16"/>
        <w:szCs w:val="16"/>
      </w:rPr>
    </w:pPr>
    <w:r w:rsidRPr="007B25BC">
      <w:rPr>
        <w:color w:val="808080" w:themeColor="background1" w:themeShade="80"/>
        <w:sz w:val="16"/>
        <w:szCs w:val="16"/>
      </w:rPr>
      <w:fldChar w:fldCharType="begin"/>
    </w:r>
    <w:r w:rsidRPr="007B25BC">
      <w:rPr>
        <w:color w:val="808080" w:themeColor="background1" w:themeShade="80"/>
        <w:sz w:val="16"/>
        <w:szCs w:val="16"/>
      </w:rPr>
      <w:instrText xml:space="preserve"> DATE \@ "M/d/yyyy" </w:instrText>
    </w:r>
    <w:r w:rsidRPr="007B25BC">
      <w:rPr>
        <w:color w:val="808080" w:themeColor="background1" w:themeShade="80"/>
        <w:sz w:val="16"/>
        <w:szCs w:val="16"/>
      </w:rPr>
      <w:fldChar w:fldCharType="separate"/>
    </w:r>
    <w:r w:rsidR="00927663">
      <w:rPr>
        <w:noProof/>
        <w:color w:val="808080" w:themeColor="background1" w:themeShade="80"/>
        <w:sz w:val="16"/>
        <w:szCs w:val="16"/>
      </w:rPr>
      <w:t>5/2/2024</w:t>
    </w:r>
    <w:r w:rsidRPr="007B25BC">
      <w:rPr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525F9" w14:textId="77777777" w:rsidR="007B25BC" w:rsidRDefault="007B25BC" w:rsidP="007B25BC">
      <w:r>
        <w:separator/>
      </w:r>
    </w:p>
  </w:footnote>
  <w:footnote w:type="continuationSeparator" w:id="0">
    <w:p w14:paraId="2A891137" w14:textId="77777777" w:rsidR="007B25BC" w:rsidRDefault="007B25BC" w:rsidP="007B2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808AA"/>
    <w:multiLevelType w:val="hybridMultilevel"/>
    <w:tmpl w:val="2F2AB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81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73"/>
    <w:rsid w:val="00417773"/>
    <w:rsid w:val="007B25BC"/>
    <w:rsid w:val="00927663"/>
    <w:rsid w:val="00943438"/>
    <w:rsid w:val="00D32A54"/>
    <w:rsid w:val="00FA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E2FAF"/>
  <w15:chartTrackingRefBased/>
  <w15:docId w15:val="{933151F0-71F0-4F6A-94FC-B60F6CC5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38"/>
    <w:rPr>
      <w:rFonts w:cs="Times New Roman"/>
      <w:color w:val="404040" w:themeColor="text1" w:themeTint="BF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4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B3838" w:themeColor="background2" w:themeShade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4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B3838" w:themeColor="background2" w:themeShade="4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438"/>
    <w:rPr>
      <w:rFonts w:asciiTheme="majorHAnsi" w:eastAsiaTheme="majorEastAsia" w:hAnsiTheme="majorHAnsi" w:cstheme="majorBidi"/>
      <w:b/>
      <w:color w:val="3B3838" w:themeColor="background2" w:themeShade="4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3438"/>
    <w:rPr>
      <w:rFonts w:asciiTheme="majorHAnsi" w:eastAsiaTheme="majorEastAsia" w:hAnsiTheme="majorHAnsi" w:cstheme="majorBidi"/>
      <w:b/>
      <w:color w:val="3B3838" w:themeColor="background2" w:themeShade="40"/>
      <w:sz w:val="24"/>
      <w:szCs w:val="26"/>
    </w:rPr>
  </w:style>
  <w:style w:type="table" w:styleId="TableGrid">
    <w:name w:val="Table Grid"/>
    <w:basedOn w:val="TableNormal"/>
    <w:uiPriority w:val="39"/>
    <w:rsid w:val="00417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7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5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BC"/>
    <w:rPr>
      <w:rFonts w:ascii="Segoe UI" w:hAnsi="Segoe UI" w:cs="Segoe UI"/>
      <w:color w:val="404040" w:themeColor="text1" w:themeTint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25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5BC"/>
    <w:rPr>
      <w:rFonts w:cs="Times New Roman"/>
      <w:color w:val="404040" w:themeColor="text1" w:themeTint="BF"/>
      <w:szCs w:val="24"/>
    </w:rPr>
  </w:style>
  <w:style w:type="paragraph" w:styleId="Footer">
    <w:name w:val="footer"/>
    <w:basedOn w:val="Normal"/>
    <w:link w:val="FooterChar"/>
    <w:uiPriority w:val="99"/>
    <w:unhideWhenUsed/>
    <w:rsid w:val="007B25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5BC"/>
    <w:rPr>
      <w:rFonts w:cs="Times New Roman"/>
      <w:color w:val="404040" w:themeColor="text1" w:themeTint="B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797</Characters>
  <Application>Microsoft Office Word</Application>
  <DocSecurity>0</DocSecurity>
  <Lines>21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Newton</dc:creator>
  <cp:keywords/>
  <dc:description/>
  <cp:lastModifiedBy>Vennisa Velez</cp:lastModifiedBy>
  <cp:revision>3</cp:revision>
  <dcterms:created xsi:type="dcterms:W3CDTF">2019-05-01T23:27:00Z</dcterms:created>
  <dcterms:modified xsi:type="dcterms:W3CDTF">2024-05-02T18:46:00Z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1ca1ebc9a9f44560012ea22c989da83210d7a49c1f5ff24bfad702ea0145a782</vt:lpwstr>
  </property>
</Properties>
</file>