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TROPITONE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® </w:t>
      </w: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COMMERCIAL WARRANTY INFORMATION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PROPER PRODUCT CARE IS ESSEN</w:t>
      </w:r>
      <w:r w:rsidR="00555FF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TIAL FOR PRESERVING YOUR RIGHTS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UNDER THIS WARRANTY. FAILURE OR NEGLECT TO PERFORM REQUIRED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PRODUCT CARE WILL VOID THIS WARRANTY. PLEASE REFER TO THE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PRODUCT CARE SECTION OF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 xml:space="preserve">www.tropitone.com </w:t>
      </w:r>
      <w:r w:rsidR="00555FFF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WEBSITE FOR REQUIRED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PRODUCT CARE.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Warranty is valid from the date by purchase to the original purchaser only. Proof of purchase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(original sales receipt including purchase date) is required. Photos or inspection may be required.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Tropitone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®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Commercial 5-year Warranty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Usage in a commercial setting: The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warranty covers aluminum outdoor patio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furniture frames and fire pit frames for five years. Commercial use is defined as use in any public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area including both the common area and individual units of properties such as hotels and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apartment complexes. If your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frame fails structurally during normal usage within</w:t>
      </w:r>
      <w:bookmarkStart w:id="0" w:name="_GoBack"/>
      <w:bookmarkEnd w:id="0"/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five years,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repair or replace the frame (with same or similar product if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discontinued) at no charge. If the finish peels, cracks or blisters within five years,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>®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repair, refinish or replace the frame (with same or similar product if discontinued) at no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charge. From time to time there may be minor variations in color and texture of finishes. THIS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WARRANTY SPECIFICALLY DOES NOT COVER SUCH MINOR VARIATIONS IN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COLOR AND TEXTURE OF FINISHES.</w:t>
      </w:r>
    </w:p>
    <w:p w:rsidR="00E91BD3" w:rsidRPr="0018792C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pay freight costs for the first year in the Cont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inental U.S. Parts and </w:t>
      </w:r>
      <w:proofErr w:type="gramStart"/>
      <w:r w:rsidR="0018792C">
        <w:rPr>
          <w:rFonts w:ascii="TimesNewRomanPSMT" w:hAnsi="TimesNewRomanPSMT" w:cs="TimesNewRomanPSMT"/>
          <w:color w:val="000000"/>
          <w:sz w:val="24"/>
          <w:szCs w:val="24"/>
        </w:rPr>
        <w:t>labor are</w:t>
      </w:r>
      <w:proofErr w:type="gramEnd"/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included.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 addition, the Five, Three and One year warranties below apply.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Smooth Finish Surface Warranty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offers finishes that are classified as “Smooth Finishes.” Such Smooth Finishes are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non-textured and have a higher gloss level than other finishes in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>®</w:t>
      </w:r>
      <w:r>
        <w:rPr>
          <w:rFonts w:ascii="TimesNewRomanPSMT" w:hAnsi="TimesNewRomanPSMT" w:cs="TimesNewRomanPSMT"/>
          <w:color w:val="000000"/>
          <w:sz w:val="24"/>
          <w:szCs w:val="24"/>
        </w:rPr>
        <w:t>’s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offering. They are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suitable for normal, outdoor use. However, Smooth Finishes may highlight normally-occurring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characteristics of the surface of unfinished aluminum frames and components that would not be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noticeable when using textured finishes. This is particularly the case regarding cast aluminum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frames and components. Cast aluminum frames and components may exhibit surface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imperfections that are a natural result of the casting and/or finishing processes.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</w:rPr>
        <w:t>®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’S WARRANTY SPECIFICALLY DOES NOT COVER SURFACE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IMPERFECTIONS OF ALUMINUM FRAMES AND COMPONENTS THAT MAY BE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HIGHLIGHTED BY SMOOTH FINISHES.</w:t>
      </w:r>
      <w:proofErr w:type="gramEnd"/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Smooth Finishes currently offered: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ALM – Aluminum Metallic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ASK – Almond Silk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BZM – Bronze Metallic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PMT – Parchment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SNO - Snow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TIN - Titanium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Other Smooth Finishes may be added periodically.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Tropitone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®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Consumer and Commercial Warranty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For 5 Years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The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warranty covers stainless steel outdoor patio furniture frames for five years from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date of purchase. The warranty covers vinyl straps, lacing and EZ Span</w:t>
      </w:r>
      <w:r>
        <w:rPr>
          <w:rFonts w:ascii="TimesNewRomanPSMT" w:hAnsi="TimesNewRomanPSMT" w:cs="TimesNewRomanPSMT"/>
          <w:color w:val="000000"/>
        </w:rPr>
        <w:t xml:space="preserve">™ </w:t>
      </w:r>
      <w:r>
        <w:rPr>
          <w:rFonts w:ascii="TimesNewRomanPSMT" w:hAnsi="TimesNewRomanPSMT" w:cs="TimesNewRomanPSMT"/>
          <w:color w:val="000000"/>
          <w:sz w:val="24"/>
          <w:szCs w:val="24"/>
        </w:rPr>
        <w:t>segments against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breakage for five years from the date of purchase. This applies only to breakage, not color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changes. In the unlikely event that a strap breaks or pulls loose,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supply a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replacement strap at no charge.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pay freight costs for the first year in the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Continental U.S. (Labor not included.)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For 3 Years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warranty covers vinyl straps against discoloration for three years from the date of purchase.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the unlikely event that a strap becomes grossly discolored,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supply a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replacement strap at no charge. Strap replacement d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ue to discoloration is at vinyl </w:t>
      </w:r>
      <w:r>
        <w:rPr>
          <w:rFonts w:ascii="TimesNewRomanPSMT" w:hAnsi="TimesNewRomanPSMT" w:cs="TimesNewRomanPSMT"/>
          <w:color w:val="000000"/>
          <w:sz w:val="24"/>
          <w:szCs w:val="24"/>
        </w:rPr>
        <w:t>supplier’s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discretion.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Mobilis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polymer frames are warranted for three years against fading and manufacturing defects.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Woven products are warranted against manufacturer’s defect for three years.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 market umbrella is a shade structure and is not meant for protection from the elements.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Basta</w:t>
      </w:r>
      <w:proofErr w:type="spellEnd"/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Sole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umbrella frames are warranted against splitting, rusting or other manufacturer’s defects for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three years.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natural stone tops are warranted for a period of three years from the date of delivery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to the end user against structural failure due to defects in the materials or workmanship. Natural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stone tops (Granite, Marble, Travertine, etc.) are made with durable, high quality natural stone.</w:t>
      </w:r>
    </w:p>
    <w:p w:rsidR="00E91BD3" w:rsidRPr="0018792C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They are hand crafted, making each piece unique. There is naturally some variation in the color,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texture, veins and gloss levels. This variation is normal and not warrantable.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>®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tabletops are designed for normal, outdoor use in a residential setting. However, all natural stone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tops require periodic maintenance to preserve their natural beauty. This maintenance will help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protect the surface from deterioration, staining, and in some cases cracking which can occur if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left unsealed.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THIS WARRANTY SPECIFICALLY DOES NOT COVER STAINS,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FADING OR DISCOLORATION IN ORIGINAL COLOR, TEXTURE, OR GLOSS, OR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DAMAGE DUE TO NEGLIGENCE, IMPROPER MAINTENANCE (SEE CARE AND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MAINTENANCE GUIDE), ACTS OF GOD, OR ALTERATIONS OR MODIFICATIONS</w:t>
      </w:r>
    </w:p>
    <w:p w:rsidR="00E91BD3" w:rsidRDefault="0018792C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OF ANY KIND MADE BY ANY PERSON OR PERSONS</w:t>
      </w:r>
      <w:r w:rsidR="00E91BD3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AFTER THE PRODUCT HAS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E91BD3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LEFT TROPITONE</w:t>
      </w:r>
      <w:r w:rsidR="00E91BD3">
        <w:rPr>
          <w:rFonts w:ascii="TimesNewRomanPSMT" w:hAnsi="TimesNewRomanPSMT" w:cs="TimesNewRomanPSMT"/>
          <w:color w:val="000000"/>
        </w:rPr>
        <w:t>®</w:t>
      </w:r>
      <w:r w:rsidR="00E91BD3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 THIS WARRANTY SPECIFICALLY DOES NOT COVER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SCRATCHING, CHIPPING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,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AND PITTING THAT NORMALLY OCCURS IN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NATURAL STONE SURFACES. MOISTURE CAN BE ABSORBED INTO SOME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NATURAL STONE WHICH IS POROUS OR VEINED, WHICH CAN THEN FREEZE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AND CAN CAUSE THE STONE TO CRACK. THIS IS NOT COVERED BY THE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WARRANTY.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pay freight costs for the first year in the Continental U.S. Labor is included for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first year.</w:t>
      </w:r>
    </w:p>
    <w:p w:rsidR="0018792C" w:rsidRDefault="0018792C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For 1 Year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warranty covers fabrics on cushions, patio and market umbrellas and slings for one year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against tearing, discoloration or fading. Fabrics are constructed of various types of yarns and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various numbers of yarns in the warp and fill. Such variations in construction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result in variations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sag and sag recovery. SUCH VARIATIONS IN SAG AND SAG RECOVERY ARE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SPECIFICALLY EXCLUDED FROM THIS WARRANTY.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warranty covers fire Pit hardware for one year against manufacture’s defects. Hardware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includes: burner, burner tray, burner cover, grill grate, blow out box, gas valve, switches, hoses,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lines &amp; wires, regulator, valves, spark igniter, fittings, fire media. The warranty specifically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excludes the battery.</w:t>
      </w:r>
    </w:p>
    <w:p w:rsidR="00E91BD3" w:rsidRPr="0018792C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warranty covers woven products for one year against discoloration or fading.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>®</w:t>
      </w:r>
      <w:r w:rsidR="0018792C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warrants the following for one year from the date of purchase: natural stone components (such as</w:t>
      </w:r>
      <w:r w:rsidR="0018792C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umbrella hole cap for table tops), finish on coiled steel spring rocker mechanisms, cushion fills,</w:t>
      </w:r>
      <w:r w:rsidR="0018792C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acrylic table tops against bowing and warping, teak components, glides, hardware, wheels,</w:t>
      </w:r>
      <w:r w:rsidR="0018792C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connectors, table rims, metal patio umbrellas and patio umbrella bases.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Stoneworks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and solid surface table tops used in commercial areas are warranted against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manufacturer’s defects for one year.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will pay freight costs for the first year in the Continental U.S. Labor not included.</w:t>
      </w:r>
    </w:p>
    <w:p w:rsidR="0018792C" w:rsidRDefault="0018792C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Seaside, Cruise Ship and Indoor Pool Use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Due to the concentrations of salt air &amp; salt water spray associated with seaside and cruise ship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use and concentrations of humidity &amp; chemicals with indoor pool use,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recommends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weekly or biweekly periodic cleaning of surface buildup to reduce the likelihood of blistering of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paint and oxidation of frames. 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also recommends quarterly waxing of your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Tropitone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® </w:t>
      </w:r>
      <w:r>
        <w:rPr>
          <w:rFonts w:ascii="TimesNewRomanPSMT" w:hAnsi="TimesNewRomanPSMT" w:cs="TimesNewRomanPSMT"/>
          <w:color w:val="000000"/>
          <w:sz w:val="24"/>
          <w:szCs w:val="24"/>
        </w:rPr>
        <w:t>frames to assist in your product’s maximum longevity. Failure or neglect to perform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required care may likely result in surface buildup of a white chalky substance which may cause</w:t>
      </w:r>
      <w:r w:rsidR="0018792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paint to blister and frame to oxidize. Such failure or neglect will void the Warranty.</w:t>
      </w:r>
    </w:p>
    <w:p w:rsidR="00E91BD3" w:rsidRDefault="0018792C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What is NOT C</w:t>
      </w:r>
      <w:r w:rsidR="00E91BD3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overed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Failure caused by unreasonable, unanticipated or abusive use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Failure caused by a lack of reasonable and necessary care and maintenance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Normal fading of fabrics, upholstery or woven materials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Flattening or compression of cushions and pads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Glass Table Tops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Acrylic Table Tops with umbrella holes (Commercial)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Steel Swivel Mechanisms (Commercial)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Bursting or cracking of tubing due to exposure to water and freezing temperatures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Changes in wood color due to the natural aging of the wood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Return freight after first year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Minor variations in color and texture of finishes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Finish failure from indoor pool or seaside use caused by neglecting to provide reasonable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necessary care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Damage caused by acts of nature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Wind damage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Crank umbrellas in commercial applications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Natural stone table tops have several coverage exclusions. See what is not covered in the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“</w:t>
      </w:r>
      <w:r>
        <w:rPr>
          <w:rFonts w:ascii="TimesNewRomanPSMT" w:hAnsi="TimesNewRomanPSMT" w:cs="TimesNewRomanPSMT"/>
          <w:color w:val="0000FF"/>
          <w:sz w:val="24"/>
          <w:szCs w:val="24"/>
        </w:rPr>
        <w:t>For 3 Years</w:t>
      </w:r>
      <w:r>
        <w:rPr>
          <w:rFonts w:ascii="TimesNewRomanPSMT" w:hAnsi="TimesNewRomanPSMT" w:cs="TimesNewRomanPSMT"/>
          <w:color w:val="000000"/>
          <w:sz w:val="24"/>
          <w:szCs w:val="24"/>
        </w:rPr>
        <w:t>” warranty above.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THE REMEDIES PROVIDED HEREIN ARE EXCLUSIVE TO THE EXTENT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ALLOWED BY LAW AND ARE IN LIEU OF ALL OTHER REMEDIES,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WARRANTIES, OR REPRESENTATIONS, EXPRESS OR IMPLIED OR STATUTORY,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INCLUDING, BUT NOT LIMITED TO ANY IMPLIED WARRANTY OF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MERCHANTABILITY OR FITNESS FOR A PARTICULAR PURPOSE, AND ALL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OTHER OBLIGATIONS, AND LIABILITIES, WHETHER IN CONTRACT OR IN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TORT, ALL OF WHICH ARE EXPRESSLY DISCLAIMED HEREIN.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IN NO EVENT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SHALL TROPITONE</w:t>
      </w:r>
      <w:r>
        <w:rPr>
          <w:rFonts w:ascii="TimesNewRomanPSMT" w:hAnsi="TimesNewRomanPSMT" w:cs="TimesNewRomanPSMT"/>
          <w:color w:val="000000"/>
        </w:rPr>
        <w:t xml:space="preserve">®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BE LIABLE FOR SPECIAL, CONSEQUENTIAL, OR OTHER</w:t>
      </w:r>
    </w:p>
    <w:p w:rsidR="00E91BD3" w:rsidRPr="0018792C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DAMAGES, INCLUDING INJURY OR DAMAGES RESULTING FROM IMPROPER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USE OR MAINTENANCE OF THE PRODUCT.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warranty gives you specific legal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rights and you may also have other rights which vary from state to state. Some states do not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allow the exclusions and limitations of incidental or consequential damages or limitations on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implied warranties, so the described limitations may not apply to you.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PROPER PRODUCT CARE IS ESSENTIAL FOR PRESERVING YOUR RIGHTS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UNDER THIS WARRANTY. FAILURE OR NEGLECT TO PERFORM REQUIRED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PRODUCT CARE WILL VOID THIS WARRANTY. PLEASE REFER TO THE</w:t>
      </w:r>
    </w:p>
    <w:p w:rsidR="00E91BD3" w:rsidRDefault="00E91BD3" w:rsidP="00E91BD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PRODUCT CARE SECTION OF www.tropitone.com WEBSITE FOR REQUIRED</w:t>
      </w:r>
      <w:r w:rsidR="0018792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PRODUCT CARE.</w:t>
      </w:r>
    </w:p>
    <w:p w:rsidR="0061775E" w:rsidRDefault="00E91BD3" w:rsidP="00E91BD3">
      <w:r>
        <w:rPr>
          <w:rFonts w:ascii="TimesNewRomanPSMT" w:hAnsi="TimesNewRomanPSMT" w:cs="TimesNewRomanPSMT"/>
          <w:color w:val="000000"/>
          <w:sz w:val="24"/>
          <w:szCs w:val="24"/>
        </w:rPr>
        <w:t>Revised: 09.04.2012</w:t>
      </w:r>
    </w:p>
    <w:sectPr w:rsidR="0061775E" w:rsidSect="0061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1BD3"/>
    <w:rsid w:val="0018792C"/>
    <w:rsid w:val="00555FFF"/>
    <w:rsid w:val="0061775E"/>
    <w:rsid w:val="00E9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service3</dc:creator>
  <cp:lastModifiedBy>Bridgetta Chango</cp:lastModifiedBy>
  <cp:revision>2</cp:revision>
  <cp:lastPrinted>2016-04-13T11:27:00Z</cp:lastPrinted>
  <dcterms:created xsi:type="dcterms:W3CDTF">2014-01-03T17:15:00Z</dcterms:created>
  <dcterms:modified xsi:type="dcterms:W3CDTF">2016-04-13T11:27:00Z</dcterms:modified>
</cp:coreProperties>
</file>