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A78D6"/>
          <w:sz w:val="16"/>
          <w:szCs w:val="16"/>
        </w:rPr>
        <w:t xml:space="preserve">SMART SOLUTIONS FOR ENERGY &amp; GRID  ·  PROBLEM STATEMENT</w:t>
      </w:r>
    </w:p>
    <w:p>
      <w:pPr>
        <w:spacing w:after="260"/>
      </w:pPr>
      <w:r>
        <w:rPr>
          <w:rFonts w:ascii="Calibri" w:cs="Calibri" w:eastAsia="Calibri" w:hAnsi="Calibri"/>
          <w:color w:val="898781"/>
          <w:sz w:val="20"/>
          <w:szCs w:val="20"/>
        </w:rPr>
        <w:t xml:space="preserve">AI-Powered Renewable Generation Forecasting Platform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B0B0B"/>
          <w:sz w:val="56"/>
          <w:szCs w:val="56"/>
        </w:rPr>
        <w:t xml:space="preserve">Forecasting What the Grid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0B0B0B"/>
          <w:sz w:val="56"/>
          <w:szCs w:val="56"/>
        </w:rPr>
        <w:t xml:space="preserve">Is About to Get</w:t>
      </w:r>
    </w:p>
    <w:p>
      <w:pPr>
        <w:pBdr>
          <w:bottom w:val="single" w:color="2A78D6" w:sz="10" w:space="10"/>
        </w:pBdr>
        <w:spacing w:after="420"/>
      </w:pPr>
      <w:r>
        <w:rPr>
          <w:rFonts w:ascii="Calibri" w:cs="Calibri" w:eastAsia="Calibri" w:hAnsi="Calibri"/>
          <w:i/>
          <w:iCs/>
          <w:color w:val="52514E"/>
          <w:sz w:val="22"/>
          <w:szCs w:val="22"/>
        </w:rPr>
        <w:t xml:space="preserve">Probabilistic 24–72 hour solar and wind forecasting, with a decision layer that turns every forecast into a sized, priced and confidence-rated grid action.</w:t>
      </w:r>
    </w:p>
    <w:p>
      <w:pPr>
        <w:spacing w:after="2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 w:val="false"/>
        </w:trPr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7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98781"/>
                <w:sz w:val="16"/>
                <w:szCs w:val="16"/>
              </w:rPr>
              <w:t xml:space="preserve">TEAM NAME</w:t>
            </w:r>
          </w:p>
        </w:tc>
        <w:tc>
          <w:tcPr>
            <w:tcW w:type="dxa" w:w="73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7F7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8"/>
                <w:szCs w:val="28"/>
              </w:rPr>
              <w:t xml:space="preserve">ZERO BIAS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98781"/>
                <w:sz w:val="16"/>
                <w:szCs w:val="16"/>
              </w:rPr>
              <w:t xml:space="preserve">TEAM LEAD</w:t>
            </w:r>
          </w:p>
        </w:tc>
        <w:tc>
          <w:tcPr>
            <w:tcW w:type="dxa" w:w="73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KRISH PARMAR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98781"/>
                <w:sz w:val="16"/>
                <w:szCs w:val="16"/>
              </w:rPr>
              <w:t xml:space="preserve">THEME</w:t>
            </w:r>
          </w:p>
        </w:tc>
        <w:tc>
          <w:tcPr>
            <w:tcW w:type="dxa" w:w="73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Renewable energy forecasting · Grid stability · Decision support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98781"/>
                <w:sz w:val="16"/>
                <w:szCs w:val="16"/>
              </w:rPr>
              <w:t xml:space="preserve">APPROACH</w:t>
            </w:r>
          </w:p>
        </w:tc>
        <w:tc>
          <w:tcPr>
            <w:tcW w:type="dxa" w:w="73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Physics-informed hybrid forecasting with calibrated uncertainty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98781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3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Belgium (Elia, metered) → India (transfer demonstration)</w:t>
            </w:r>
          </w:p>
        </w:tc>
      </w:tr>
    </w:tbl>
    <w:p>
      <w:pPr>
        <w:spacing w:after="500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898781"/>
          <w:sz w:val="17"/>
          <w:szCs w:val="17"/>
        </w:rPr>
        <w:t xml:space="preserve">Technical Proposal  ·  September 2026</w:t>
      </w:r>
    </w:p>
    <w:p>
      <w:r>
        <w:br w:type="page"/>
      </w:r>
    </w:p>
    <w:p>
      <w:pPr>
        <w:pStyle w:val="Heading1"/>
        <w:pBdr>
          <w:bottom w:val="single" w:color="2A78D6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2A78D6"/>
          <w:sz w:val="26"/>
          <w:szCs w:val="26"/>
        </w:rPr>
        <w:t xml:space="preserve"> 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Executive Summary</w:t>
      </w:r>
    </w:p>
    <w:p>
      <w:pPr>
        <w:spacing w:after="15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Solar and wind output swings with the weather. Grid operators absorb that uncertainty by holding inflexible fossil generation in reserve — or by curtailing renewables outright. India curtailed 2.1 TWh of renewable electricity in FY 2025-26, and from 1 April 2026 the permitted forecast deviation for solar was halved from ±10% to ±5%. The cost of getting a forecast wrong roughly doubled this financial year.</w:t>
      </w:r>
    </w:p>
    <w:p>
      <w:pPr>
        <w:spacing w:after="150" w:before="0" w:line="264"/>
      </w:pP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We forecast regional solar and wind generation 24 to 72 hours ahead, and convert each forecast into a grid action.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Three ideas carry the design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00"/>
        <w:gridCol w:w="6686"/>
      </w:tblGrid>
      <w:tr>
        <w:trPr>
          <w:tblHeader/>
        </w:trPr>
        <w:tc>
          <w:tcPr>
            <w:tcW w:type="dxa" w:w="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Idea</w:t>
            </w:r>
          </w:p>
        </w:tc>
        <w:tc>
          <w:tcPr>
            <w:tcW w:type="dxa" w:w="668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Physics does the deterministic work</w:t>
            </w:r>
          </w:p>
        </w:tc>
        <w:tc>
          <w:tcPr>
            <w:tcW w:type="dxa" w:w="668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 solar plant’s output at 11:00 on 14 March is ~90% determined by sun geometry and clear-sky radiative transfer — exactly computable today, with no training data. We compute it. Machine learning corrects only the residual: soiling, wake losses, local microclimate.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Every forecast is a verified interval</w:t>
            </w:r>
          </w:p>
        </w:tc>
        <w:tc>
          <w:tcPr>
            <w:tcW w:type="dxa" w:w="668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Point forecasts cannot size a reserve. We emit P10/P50/P90 and apply conformal calibration so the 80% band demonstrably covers 80% of outcomes — and we publish the coverage plot that proves it.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The output is an action, not a chart</w:t>
            </w:r>
          </w:p>
        </w:tc>
        <w:tc>
          <w:tcPr>
            <w:tcW w:type="dxa" w:w="668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Operators do not need a curve. They need to know that Tuesday 11:00–14:00 will be 340 MW over-generating with 80% confidence, that the battery absorbs 210 MWh, and what the remainder costs to curtail.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What this buys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Property</w:t>
            </w:r>
          </w:p>
        </w:tc>
        <w:tc>
          <w:tcPr>
            <w:tcW w:type="dxa" w:w="75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Consequence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Low data requirement</w:t>
            </w:r>
          </w:p>
        </w:tc>
        <w:tc>
          <w:tcPr>
            <w:tcW w:type="dxa" w:w="75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The residual is small and structured; the raw signal is large and seasonal.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Cold start</w:t>
            </w:r>
          </w:p>
        </w:tc>
        <w:tc>
          <w:tcPr>
            <w:tcW w:type="dxa" w:w="75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 region with zero generation history gets a usable forecast on day one, from site parameters alone.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Interpretability</w:t>
            </w:r>
          </w:p>
        </w:tc>
        <w:tc>
          <w:tcPr>
            <w:tcW w:type="dxa" w:w="75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SHAP on the residual answers “why is this forecast low?” with low cloud and soiling — not an opaque attribution.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Graceful degradation</w:t>
            </w:r>
          </w:p>
        </w:tc>
        <w:tc>
          <w:tcPr>
            <w:tcW w:type="dxa" w:w="75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If the learned model drifts or fails, the system falls back to physics, not to nothing.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Transferability</w:t>
            </w:r>
          </w:p>
        </w:tc>
        <w:tc>
          <w:tcPr>
            <w:tcW w:type="dxa" w:w="75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Moving to a new grid changes configuration — not the model architecture.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2A78D6" w:sz="18"/>
              <w:bottom w:val="none"/>
              <w:right w:val="none"/>
            </w:tcBorders>
            <w:shd w:fill="EEF3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5"/>
                <w:szCs w:val="15"/>
              </w:rPr>
              <w:t xml:space="preserve">VALIDATION STRATEGY</w:t>
            </w:r>
          </w:p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We validate on Belgium, where metered 15-minute data and the grid operator’s own published day-ahead forecast both exist — so our accuracy claim is measured against a professional operational system rather than a baseline we chose ourselves. We then transfer the identical pipeline to Indian data to show it moves to a new grid in hours. Belgium carries the accuracy claim; India carries the relevance claim. Neither is asked to do the other’s job.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78D6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2A78D6"/>
          <w:sz w:val="26"/>
          <w:szCs w:val="26"/>
        </w:rPr>
        <w:t xml:space="preserve">1 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Understanding the Problem</w:t>
      </w:r>
    </w:p>
    <w:p>
      <w:pPr>
        <w:spacing w:after="15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“Forecast renewable output” is not one problem. It is five, and they fail in different ways. Naming them separately is what prevents a team from building one monolithic model and calling it a platform.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100"/>
        <w:gridCol w:w="3596"/>
      </w:tblGrid>
      <w:tr>
        <w:trPr>
          <w:tblHeader/>
        </w:trPr>
        <w:tc>
          <w:tcPr>
            <w:tcW w:type="dxa" w:w="205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Sub-problem</w:t>
            </w:r>
          </w:p>
        </w:tc>
        <w:tc>
          <w:tcPr>
            <w:tcW w:type="dxa" w:w="4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The real question</w:t>
            </w:r>
          </w:p>
        </w:tc>
        <w:tc>
          <w:tcPr>
            <w:tcW w:type="dxa" w:w="359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Why it is hard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Weather → resource</w:t>
            </w:r>
          </w:p>
        </w:tc>
        <w:tc>
          <w:tcPr>
            <w:tcW w:type="dxa" w:w="4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Turn a weather prediction into irradiance or hub-height wind at this location</w:t>
            </w:r>
          </w:p>
        </w:tc>
        <w:tc>
          <w:tcPr>
            <w:tcW w:type="dxa" w:w="359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NWP grids are 9–25 km. The error is systematic bias, not noise.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Resource → power</w:t>
            </w:r>
          </w:p>
        </w:tc>
        <w:tc>
          <w:tcPr>
            <w:tcW w:type="dxa" w:w="4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Turn irradiance or wind speed into megawatts</w:t>
            </w:r>
          </w:p>
        </w:tc>
        <w:tc>
          <w:tcPr>
            <w:tcW w:type="dxa" w:w="359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Strongly non-linear: inverter clipping, soiling, wake losses, storm cut-out.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Uncertainty</w:t>
            </w:r>
          </w:p>
        </w:tc>
        <w:tc>
          <w:tcPr>
            <w:tcW w:type="dxa" w:w="4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How wrong might this be, at each hour?</w:t>
            </w:r>
          </w:p>
        </w:tc>
        <w:tc>
          <w:tcPr>
            <w:tcW w:type="dxa" w:w="359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Error is heteroscedastic — near zero at 03:00, very large on a broken-cloud afternoon.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Event detection</w:t>
            </w:r>
          </w:p>
        </w:tc>
        <w:tc>
          <w:tcPr>
            <w:tcW w:type="dxa" w:w="4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Where are the ramps and over-generation windows?</w:t>
            </w:r>
          </w:p>
        </w:tc>
        <w:tc>
          <w:tcPr>
            <w:tcW w:type="dxa" w:w="359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 2% RMSE gain is worth less than catching one 40% ramp.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Action</w:t>
            </w:r>
          </w:p>
        </w:tc>
        <w:tc>
          <w:tcPr>
            <w:tcW w:type="dxa" w:w="4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Curtail, charge, discharge or commit backup — and why</w:t>
            </w:r>
          </w:p>
        </w:tc>
        <w:tc>
          <w:tcPr>
            <w:tcW w:type="dxa" w:w="359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Needs demand, must-run capacity, storage state and ramp limits.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The horizon decides the method</w:t>
      </w:r>
    </w:p>
    <w:p>
      <w:pPr>
        <w:spacing w:after="12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Forecast skill is governed by which information remains useful at a given lead time. The brief specifies 24–72 hours — which lands squarely in the band where numerical weather prediction is the only meaningful signal.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1900"/>
        <w:gridCol w:w="2546"/>
      </w:tblGrid>
      <w:tr>
        <w:trPr>
          <w:tblHeader/>
        </w:trPr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Horizon</w:t>
            </w:r>
          </w:p>
        </w:tc>
        <w:tc>
          <w:tcPr>
            <w:tcW w:type="dxa" w:w="3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Dominant signal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Past output helps?</w:t>
            </w:r>
          </w:p>
        </w:tc>
        <w:tc>
          <w:tcPr>
            <w:tcW w:type="dxa" w:w="25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Approach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0–30 min</w:t>
            </w:r>
          </w:p>
        </w:tc>
        <w:tc>
          <w:tcPr>
            <w:tcW w:type="dxa" w:w="3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Satellite cloud motion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7"/>
                <w:szCs w:val="17"/>
              </w:rPr>
              <w:t xml:space="preserve">Strongly</w:t>
            </w:r>
          </w:p>
        </w:tc>
        <w:tc>
          <w:tcPr>
            <w:tcW w:type="dxa" w:w="25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Persistence + advection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30 min – 6 h</w:t>
            </w:r>
          </w:p>
        </w:tc>
        <w:tc>
          <w:tcPr>
            <w:tcW w:type="dxa" w:w="3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Satellite, recent output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CA30C"/>
                <w:sz w:val="17"/>
                <w:szCs w:val="17"/>
              </w:rPr>
              <w:t xml:space="preserve">Usefully</w:t>
            </w:r>
          </w:p>
        </w:tc>
        <w:tc>
          <w:tcPr>
            <w:tcW w:type="dxa" w:w="25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Smart persistence, boosting on lags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EF3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6–72 hours</w:t>
            </w:r>
          </w:p>
        </w:tc>
        <w:tc>
          <w:tcPr>
            <w:tcW w:type="dxa" w:w="3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EF3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Weather forecast only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EF3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7"/>
                <w:szCs w:val="17"/>
              </w:rPr>
              <w:t xml:space="preserve">Barely</w:t>
            </w:r>
          </w:p>
        </w:tc>
        <w:tc>
          <w:tcPr>
            <w:tcW w:type="dxa" w:w="25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EF3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NWP post-processing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3–14 days</w:t>
            </w:r>
          </w:p>
        </w:tc>
        <w:tc>
          <w:tcPr>
            <w:tcW w:type="dxa" w:w="3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Ensemble NWP, climatology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D03B3B"/>
                <w:sz w:val="17"/>
                <w:szCs w:val="17"/>
              </w:rPr>
              <w:t xml:space="preserve">No</w:t>
            </w:r>
          </w:p>
        </w:tc>
        <w:tc>
          <w:tcPr>
            <w:tcW w:type="dxa" w:w="25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Probabilistic ensemble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D03B3B" w:sz="18"/>
              <w:bottom w:val="none"/>
              <w:right w:val="none"/>
            </w:tcBorders>
            <w:shd w:fill="EEF3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5"/>
                <w:szCs w:val="15"/>
              </w:rPr>
              <w:t xml:space="preserve">THE CONSEQUENCE MOST TEAMS MISS</w:t>
            </w:r>
          </w:p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At lead hour 48, yesterday’s last meter reading carries almost nothing. Any model trained on short autoregressive lags will score brilliantly in a naive backtest and fail completely in deployment, because the backtest leaked information the live system will never have. This reframes the project as NWP post-processing rather than time-series forecasting — the single most consequential decision in this proposal.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The problem, in measured quantities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00"/>
        <w:gridCol w:w="2446"/>
      </w:tblGrid>
      <w:tr>
        <w:trPr>
          <w:tblHeader/>
        </w:trPr>
        <w:tc>
          <w:tcPr>
            <w:tcW w:type="dxa" w:w="5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Measure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Value</w:t>
            </w:r>
          </w:p>
        </w:tc>
        <w:tc>
          <w:tcPr>
            <w:tcW w:type="dxa" w:w="2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Renewable electricity curtailed in India, FY 2025-26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7"/>
                <w:szCs w:val="17"/>
              </w:rPr>
              <w:t xml:space="preserve">2.1 TWh</w:t>
            </w:r>
          </w:p>
        </w:tc>
        <w:tc>
          <w:tcPr>
            <w:tcW w:type="dxa" w:w="2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Ember, June 2026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As a share of total renewable generation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7"/>
                <w:szCs w:val="17"/>
              </w:rPr>
              <w:t xml:space="preserve">1.3%</w:t>
            </w:r>
          </w:p>
        </w:tc>
        <w:tc>
          <w:tcPr>
            <w:tcW w:type="dxa" w:w="2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Ember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Peak-hour curtailment of solar and wind, by April 2026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7"/>
                <w:szCs w:val="17"/>
              </w:rPr>
              <w:t xml:space="preserve">4%</w:t>
            </w:r>
          </w:p>
        </w:tc>
        <w:tc>
          <w:tcPr>
            <w:tcW w:type="dxa" w:w="2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Ember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Lost to transmission constraints, Q1 2026 alone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7"/>
                <w:szCs w:val="17"/>
              </w:rPr>
              <w:t xml:space="preserve">300 GWh</w:t>
            </w:r>
          </w:p>
        </w:tc>
        <w:tc>
          <w:tcPr>
            <w:tcW w:type="dxa" w:w="2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Ember, 2026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Lost on the single worst day, 30 March 2026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7"/>
                <w:szCs w:val="17"/>
              </w:rPr>
              <w:t xml:space="preserve">34 GWh</w:t>
            </w:r>
          </w:p>
        </w:tc>
        <w:tc>
          <w:tcPr>
            <w:tcW w:type="dxa" w:w="2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Ember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Storage India needs to prevent current curtailment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~10 GWh</w:t>
            </w:r>
          </w:p>
        </w:tc>
        <w:tc>
          <w:tcPr>
            <w:tcW w:type="dxa" w:w="2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Ember estimate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Permitted solar deviation band, from 1 April 2026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±10% → ±5%</w:t>
            </w:r>
          </w:p>
        </w:tc>
        <w:tc>
          <w:tcPr>
            <w:tcW w:type="dxa" w:w="2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CERC DSM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Permitted wind deviation band, from 1 April 2026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±15% → ±10%</w:t>
            </w:r>
          </w:p>
        </w:tc>
        <w:tc>
          <w:tcPr>
            <w:tcW w:type="dxa" w:w="2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CERC DSM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10" w:before="0" w:line="264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34 GWh lost in one day is roughly the daily electricity consumption of five million urban middle-class households. Meanwhile the CERC tolerance mechanism phases to zero by FY 2031, so the financial consequence of forecast error rises every year on a published schedule.</w:t>
      </w:r>
    </w:p>
    <w:p>
      <w:r>
        <w:br w:type="page"/>
      </w:r>
    </w:p>
    <w:p>
      <w:pPr>
        <w:pStyle w:val="Heading1"/>
        <w:pBdr>
          <w:bottom w:val="single" w:color="2A78D6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2A78D6"/>
          <w:sz w:val="26"/>
          <w:szCs w:val="26"/>
        </w:rPr>
        <w:t xml:space="preserve">2 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Proposed Solution</w:t>
      </w:r>
    </w:p>
    <w:p>
      <w:pPr>
        <w:spacing w:after="6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The core mechanism is a hybrid estimator. A physics engine converts weather to power deterministically using site parameters. A gradient-boosting model never has to learn that job — it sees only what physics got wrong, and predicts that residual at three quantiles.</w:t>
      </w:r>
    </w:p>
    <w:p>
      <w:pPr>
        <w:spacing w:after="40" w:before="110"/>
        <w:jc w:val="center"/>
      </w:pPr>
      <w:r>
        <w:drawing>
          <wp:inline distT="0" distB="0" distL="0" distR="0">
            <wp:extent cx="6096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A78D6"/>
          <w:sz w:val="16"/>
          <w:szCs w:val="16"/>
        </w:rPr>
        <w:t xml:space="preserve">Figure 1  </w:t>
      </w:r>
      <w:r>
        <w:rPr>
          <w:rFonts w:ascii="Calibri" w:cs="Calibri" w:eastAsia="Calibri" w:hAnsi="Calibri"/>
          <w:i/>
          <w:iCs/>
          <w:color w:val="898781"/>
          <w:sz w:val="16"/>
          <w:szCs w:val="16"/>
        </w:rPr>
        <w:t xml:space="preserve">Physics-informed residual learning — the mechanism that earns the accuracy</w:t>
      </w:r>
    </w:p>
    <w:p>
      <w:pPr>
        <w:spacing w:after="17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Remove the physics block and the machine-learning model must re-derive orbital mechanics from a few months of data. Keep it, and the model has a small, structured target: soiling, wake losses, sensor drift, local microclimate.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Why not simply train a deep network end-to-end?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646"/>
      </w:tblGrid>
      <w:tr>
        <w:trPr>
          <w:tblHeader/>
        </w:trPr>
        <w:tc>
          <w:tcPr>
            <w:tcW w:type="dxa" w:w="3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Objection</w:t>
            </w:r>
          </w:p>
        </w:tc>
        <w:tc>
          <w:tcPr>
            <w:tcW w:type="dxa" w:w="66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“Why not an LSTM?”</w:t>
            </w:r>
          </w:p>
        </w:tc>
        <w:tc>
          <w:tcPr>
            <w:tcW w:type="dxa" w:w="66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At 24–72 hour lead, autoregressive lags carry almost no information. This is NWP post-processing, not time-series forecasting. GEFCom2014 — the reference academic competition on exactly this problem — was won by a tree ensemble.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“Isn’t physics too rigid?”</w:t>
            </w:r>
          </w:p>
        </w:tc>
        <w:tc>
          <w:tcPr>
            <w:tcW w:type="dxa" w:w="66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Physics handles only what is genuinely deterministic: sun position, clear-sky radiative transfer, panel geometry, the turbine power curve. Everything atmospheric and asset-specific is learned.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“Does deep learning get benchmarked?”</w:t>
            </w:r>
          </w:p>
        </w:tc>
        <w:tc>
          <w:tcPr>
            <w:tcW w:type="dxa" w:w="66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Yes — as a documented experiment in the final phase. A benchmark showing TFT and N-HiTS losing to gradient boosting on our data is a stronger result than a marginal win, because it proves we measured rather than assumed.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1"/>
        <w:pBdr>
          <w:bottom w:val="single" w:color="2A78D6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2A78D6"/>
          <w:sz w:val="26"/>
          <w:szCs w:val="26"/>
        </w:rPr>
        <w:t xml:space="preserve">3 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Technical Approach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3.1  Data strategy</w:t>
      </w:r>
    </w:p>
    <w:p>
      <w:pPr>
        <w:spacing w:after="12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Three inputs are required and rarely ship together: regional generation history, matching weather, and site parameters. One portal closes the loop — Elia publishes generation, its own forecast, and demand on a single 15-minute timebase with one join key.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500"/>
        <w:gridCol w:w="4896"/>
      </w:tblGrid>
      <w:tr>
        <w:trPr>
          <w:tblHeader/>
        </w:trPr>
        <w:tc>
          <w:tcPr>
            <w:tcW w:type="dxa" w:w="235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Source</w:t>
            </w:r>
          </w:p>
        </w:tc>
        <w:tc>
          <w:tcPr>
            <w:tcW w:type="dxa" w:w="489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What it gives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Solar &amp; wind truth</w:t>
            </w:r>
          </w:p>
        </w:tc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Elia ods031/032, ods086/087</w:t>
            </w:r>
          </w:p>
        </w:tc>
        <w:tc>
          <w:tcPr>
            <w:tcW w:type="dxa" w:w="489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Measured MW, monitored capacity, and the operator’s own day-ahead, week-ahead and P10/P90 forecasts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Demand</w:t>
            </w:r>
          </w:p>
        </w:tc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Elia ods001/002/003</w:t>
            </w:r>
          </w:p>
        </w:tc>
        <w:tc>
          <w:tcPr>
            <w:tcW w:type="dxa" w:w="489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Measured and forecast total load — this is what makes the decision layer real rather than synthetic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Weather</w:t>
            </w:r>
          </w:p>
        </w:tc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Open-Meteo (ECMWF, ICON, GFS)</w:t>
            </w:r>
          </w:p>
        </w:tc>
        <w:tc>
          <w:tcPr>
            <w:tcW w:type="dxa" w:w="489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Identical variable names historically and forward, so training and serving cannot diverge. No API key.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Fleet parameters</w:t>
            </w:r>
          </w:p>
        </w:tc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site_master.yaml (authored)</w:t>
            </w:r>
          </w:p>
        </w:tc>
        <w:tc>
          <w:tcPr>
            <w:tcW w:type="dxa" w:w="489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Archetype rows: tilt, azimuth, hub height, power curve, capacity share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Transfer region</w:t>
            </w:r>
          </w:p>
        </w:tc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Zenodo 10.5281/zenodo.7824872</w:t>
            </w:r>
          </w:p>
        </w:tc>
        <w:tc>
          <w:tcPr>
            <w:tcW w:type="dxa" w:w="489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Hourly Indian solar and wind capacity factors, state-level and gridded, 1979–2022, plus installed capacity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70" w:before="0" w:line="264"/>
      </w:pPr>
      <w:r>
        <w:rPr>
          <w:rFonts w:ascii="Calibri" w:cs="Calibri" w:eastAsia="Calibri" w:hAnsi="Calibri"/>
          <w:i/>
          <w:iCs/>
          <w:color w:val="52514E"/>
          <w:sz w:val="19"/>
          <w:szCs w:val="19"/>
        </w:rPr>
        <w:t xml:space="preserve">Every input is open, free and licence-clear. Nothing in the critical path requires a paid subscription, a commercial key or a data-sharing agreement — which means the result is reproducible by anyone, including an evaluator.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3.2  Regional scale changes the physics layer</w:t>
      </w:r>
    </w:p>
    <w:p>
      <w:pPr>
        <w:spacing w:after="9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A region has no single tilt or hub height, so two adaptations are required: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Fleet archetypes. </w:t>
      </w:r>
      <w:r>
        <w:rPr>
          <w:rFonts w:ascii="Calibri" w:cs="Calibri" w:eastAsia="Calibri" w:hAnsi="Calibri"/>
          <w:color w:val="52514E"/>
          <w:sz w:val="20"/>
          <w:szCs w:val="20"/>
        </w:rPr>
        <w:t xml:space="preserve">site_master becomes a weighted set of representative configurations — for Belgian PV, roughly rooftop-south 35°, rooftop east-west 20° and ground-mount 30°. The physics chain runs per archetype and is summed by capacity share. This is what reproduces the morning shoulder that east-west rooftop arrays produce and a single-tilt model underestimates every day of the year.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Capacity-weighted weather grid. </w:t>
      </w:r>
      <w:r>
        <w:rPr>
          <w:rFonts w:ascii="Calibri" w:cs="Calibri" w:eastAsia="Calibri" w:hAnsi="Calibri"/>
          <w:color w:val="52514E"/>
          <w:sz w:val="20"/>
          <w:szCs w:val="20"/>
        </w:rPr>
        <w:t xml:space="preserve">Weather is sampled at 5–10 coordinates across the region, each weighted by nearby installed capacity. A single centroid systematically misses frontal systems crossing the region. Spatial aggregation is also why regional forecasting is easier than plant forecasting — independent cloud noise partially cancels.</w:t>
      </w:r>
    </w:p>
    <w:p>
      <w:pPr>
        <w:spacing w:after="140"/>
      </w:pPr>
      <w: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3.3  Feature families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2846"/>
      </w:tblGrid>
      <w:tr>
        <w:trPr>
          <w:tblHeader/>
        </w:trPr>
        <w:tc>
          <w:tcPr>
            <w:tcW w:type="dxa" w:w="2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Family</w:t>
            </w:r>
          </w:p>
        </w:tc>
        <w:tc>
          <w:tcPr>
            <w:tcW w:type="dxa" w:w="4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Representative features</w:t>
            </w:r>
          </w:p>
        </w:tc>
        <w:tc>
          <w:tcPr>
            <w:tcW w:type="dxa" w:w="2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Why it earns its place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Solar physics</w:t>
            </w:r>
          </w:p>
        </w:tc>
        <w:tc>
          <w:tcPr>
            <w:tcW w:type="dxa" w:w="4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clearsky_index_kt, poa_global, cell_temperature, thermal_derate, physics_pac_mw, clipping_headroom</w:t>
            </w:r>
          </w:p>
        </w:tc>
        <w:tc>
          <w:tcPr>
            <w:tcW w:type="dxa" w:w="2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Removes the deterministic 90%. The clear-sky index makes January and June comparable.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Wind physics</w:t>
            </w:r>
          </w:p>
        </w:tc>
        <w:tc>
          <w:tcPr>
            <w:tcW w:type="dxa" w:w="4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ws_hub, air_density, ws_density_corrected, power_curve_cf, dP_dv, cut-in/cut-out flags</w:t>
            </w:r>
          </w:p>
        </w:tc>
        <w:tc>
          <w:tcPr>
            <w:tcW w:type="dxa" w:w="2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Power goes as v³ — a 10% wind-speed error is a 33% power error. Density correction alone recovers several points of nRMSE.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NWP quality</w:t>
            </w:r>
          </w:p>
        </w:tc>
        <w:tc>
          <w:tcPr>
            <w:tcW w:type="dxa" w:w="4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lead_hours, model_disagreement, ensemble_spread, nwp_bias_lag_7d, cloud low/mid/high split</w:t>
            </w:r>
          </w:p>
        </w:tc>
        <w:tc>
          <w:tcPr>
            <w:tcW w:type="dxa" w:w="2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These features predict our own error. They are what turns a point forecast into an honest interval.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Temporal</w:t>
            </w:r>
          </w:p>
        </w:tc>
        <w:tc>
          <w:tcPr>
            <w:tcW w:type="dxa" w:w="4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hour_sin/cos, doy_sin/cos, mins_since_sunrise, holiday flags</w:t>
            </w:r>
          </w:p>
        </w:tc>
        <w:tc>
          <w:tcPr>
            <w:tcW w:type="dxa" w:w="2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Cheap. Captures residual diurnal patterns physics misses — fog burn-off, sea breeze, dust.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Autoregressive</w:t>
            </w:r>
          </w:p>
        </w:tc>
        <w:tc>
          <w:tcPr>
            <w:tcW w:type="dxa" w:w="4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power_lag_24h, power_lag_168h, rolling statistics</w:t>
            </w:r>
          </w:p>
        </w:tc>
        <w:tc>
          <w:tcPr>
            <w:tcW w:type="dxa" w:w="2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Slow state only: soiling build-up, partial outages. Lags under 24 hours are excluded as leakage.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2A78D6" w:sz="18"/>
              <w:bottom w:val="none"/>
              <w:right w:val="none"/>
            </w:tcBorders>
            <w:shd w:fill="EEF3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5"/>
                <w:szCs w:val="15"/>
              </w:rPr>
              <w:t xml:space="preserve">THREE DATA TRAPS WE HANDLE BY NAME</w:t>
            </w:r>
          </w:p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Curtailed hours are censored labels — measured output is not what the weather allowed, so training on them teaches the model to under-forecast exactly during the events we exist to predict; we set sample_weight to zero there. Night rows are free accuracy — half a solar series is zeros, so we report daylight-only metrics. Random train/test splits leak, because adjacent hours are near-identical; all evaluation is walk-forward with a gap.</w:t>
            </w:r>
          </w:p>
        </w:tc>
      </w:tr>
    </w:tbl>
    <w:p>
      <w:r>
        <w:br w:type="pag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3.4  Model ladder</w:t>
      </w:r>
    </w:p>
    <w:p>
      <w:pPr>
        <w:spacing w:after="11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Each rung must beat the one below it on a held-out window, or be skipped with a stated reason.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446"/>
      </w:tblGrid>
      <w:tr>
        <w:trPr>
          <w:tblHeader/>
        </w:trPr>
        <w:tc>
          <w:tcPr>
            <w:tcW w:type="dxa" w:w="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#</w:t>
            </w:r>
          </w:p>
        </w:tc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Method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0</w:t>
            </w:r>
          </w:p>
        </w:tc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Persistence &amp; climatology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The floor. Every reported number becomes a skill score against this. Non-negotiable.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1</w:t>
            </w:r>
          </w:p>
        </w:tc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Pure physics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Second baseline, later a feature. Works with zero history — this is the cold-start answer.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2</w:t>
            </w:r>
          </w:p>
        </w:tc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Gradient boosting (LightGBM)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The workhorse. Seconds to train, handles missing values natively, explainable via SHAP.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3</w:t>
            </w:r>
          </w:p>
        </w:tc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Residual learning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Model predicts the physics error, not the raw target. Largest single accuracy gain for the least code.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Quantile regression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Three heads at α = 0.1 / 0.5 / 0.9. Produces the interval the decision layer consumes.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5</w:t>
            </w:r>
          </w:p>
        </w:tc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Conformal calibration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Distribution-free finite-sample coverage guarantee. Cheap, and almost nobody does it.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98781"/>
                <w:sz w:val="17"/>
                <w:szCs w:val="17"/>
              </w:rPr>
              <w:t xml:space="preserve">6</w:t>
            </w:r>
          </w:p>
        </w:tc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898781"/>
                <w:sz w:val="17"/>
                <w:szCs w:val="17"/>
              </w:rPr>
              <w:t xml:space="preserve">Deep sequence models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N-HiTS, Temporal Fusion Transformer — benchmarked as a documented experiment, not assumed to win.</w:t>
            </w:r>
          </w:p>
        </w:tc>
      </w:tr>
    </w:tbl>
    <w:p>
      <w:pPr>
        <w:spacing w:after="170"/>
      </w:pPr>
      <w: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3.5  Uncertainty, in two stages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Quantile heads. </w:t>
      </w:r>
      <w:r>
        <w:rPr>
          <w:rFonts w:ascii="Calibri" w:cs="Calibri" w:eastAsia="Calibri" w:hAnsi="Calibri"/>
          <w:color w:val="52514E"/>
          <w:sz w:val="20"/>
          <w:szCs w:val="20"/>
        </w:rPr>
        <w:t xml:space="preserve">Three LightGBM models with pinball-loss objectives. This produces intervals whose width varies with conditions — narrow at 03:00, wide on a broken-cloud afternoon. Width is driven by lead time, model disagreement, low cloud, and the power-curve gradient.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Split-conformal calibration. </w:t>
      </w:r>
      <w:r>
        <w:rPr>
          <w:rFonts w:ascii="Calibri" w:cs="Calibri" w:eastAsia="Calibri" w:hAnsi="Calibri"/>
          <w:color w:val="52514E"/>
          <w:sz w:val="20"/>
          <w:szCs w:val="20"/>
        </w:rPr>
        <w:t xml:space="preserve">On a rolling recent window, nonconformity scores adjust the interval so empirical coverage matches nominal coverage — regardless of whether the underlying model is well-specified. We report PICP and publish the reliability diagram.</w:t>
      </w:r>
    </w:p>
    <w:p>
      <w:pPr>
        <w:spacing w:after="110"/>
      </w:pPr>
      <w:r>
        <w:t xml:space="preserve"/>
      </w:r>
    </w:p>
    <w:p>
      <w:pPr>
        <w:spacing w:after="110" w:before="0" w:line="264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An 80% band that covers 55% of outcomes is not a conservative forecast. It is a false statement, and it will size reserves wrong.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A78D6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2A78D6"/>
          <w:sz w:val="26"/>
          <w:szCs w:val="26"/>
        </w:rPr>
        <w:t xml:space="preserve">4 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System Architecture</w:t>
      </w:r>
    </w:p>
    <w:p>
      <w:pPr>
        <w:spacing w:after="40" w:before="110"/>
        <w:jc w:val="center"/>
      </w:pPr>
      <w:r>
        <w:drawing>
          <wp:inline distT="0" distB="0" distL="0" distR="0">
            <wp:extent cx="6096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A78D6"/>
          <w:sz w:val="16"/>
          <w:szCs w:val="16"/>
        </w:rPr>
        <w:t xml:space="preserve">Figure 2  </w:t>
      </w:r>
      <w:r>
        <w:rPr>
          <w:rFonts w:ascii="Calibri" w:cs="Calibri" w:eastAsia="Calibri" w:hAnsi="Calibri"/>
          <w:i/>
          <w:iCs/>
          <w:color w:val="898781"/>
          <w:sz w:val="16"/>
          <w:szCs w:val="16"/>
        </w:rPr>
        <w:t xml:space="preserve">Five-layer platform architecture. The dashed loop is what makes it a platform rather than a notebook.</w:t>
      </w:r>
    </w:p>
    <w:p>
      <w:pPr>
        <w:spacing w:after="18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Measured actuals retrain the residual model nightly and recalibrate the intervals; operator decisions become labelled data. Training and inference call the identical feature code — which structurally removes the most common cause of deployed-model failure.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Module 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6446"/>
      </w:tblGrid>
      <w:tr>
        <w:trPr>
          <w:tblHeader/>
        </w:trPr>
        <w:tc>
          <w:tcPr>
            <w:tcW w:type="dxa" w:w="1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Module</w:t>
            </w:r>
          </w:p>
        </w:tc>
        <w:tc>
          <w:tcPr>
            <w:tcW w:type="dxa" w:w="23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Responsibility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M1</w:t>
            </w:r>
          </w:p>
        </w:tc>
        <w:tc>
          <w:tcPr>
            <w:tcW w:type="dxa" w:w="23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Ingestion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Source adapters, scheduling, unit and timezone normalisation at the boundary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M2</w:t>
            </w:r>
          </w:p>
        </w:tc>
        <w:tc>
          <w:tcPr>
            <w:tcW w:type="dxa" w:w="23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Quality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Range checks, frozen-sensor detection, gap filling, curtailment masking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AF7A"/>
                <w:sz w:val="17"/>
                <w:szCs w:val="17"/>
              </w:rPr>
              <w:t xml:space="preserve">M3</w:t>
            </w:r>
          </w:p>
        </w:tc>
        <w:tc>
          <w:tcPr>
            <w:tcW w:type="dxa" w:w="23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Feature engine ★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pvlib chain, shear extrapolation, density correction, power curves, cyclic encoding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AF7A"/>
                <w:sz w:val="17"/>
                <w:szCs w:val="17"/>
              </w:rPr>
              <w:t xml:space="preserve">M4</w:t>
            </w:r>
          </w:p>
        </w:tc>
        <w:tc>
          <w:tcPr>
            <w:tcW w:type="dxa" w:w="23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Forecast engine ★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Baselines, physics model, residual GBDT, multi-horizon fit, model registry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AF7A"/>
                <w:sz w:val="17"/>
                <w:szCs w:val="17"/>
              </w:rPr>
              <w:t xml:space="preserve">M5</w:t>
            </w:r>
          </w:p>
        </w:tc>
        <w:tc>
          <w:tcPr>
            <w:tcW w:type="dxa" w:w="23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Uncertainty ★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Quantile heads, conformal calibration, coverage reporting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M6</w:t>
            </w:r>
          </w:p>
        </w:tc>
        <w:tc>
          <w:tcPr>
            <w:tcW w:type="dxa" w:w="23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Event scanner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Ramp, over-generation and storm-shutdown detection with lead time and severity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AF7A"/>
                <w:sz w:val="17"/>
                <w:szCs w:val="17"/>
              </w:rPr>
              <w:t xml:space="preserve">M7</w:t>
            </w:r>
          </w:p>
        </w:tc>
        <w:tc>
          <w:tcPr>
            <w:tcW w:type="dxa" w:w="23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Decision engine ★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Net-load balance, storage simulation, ranked and priced actions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M8</w:t>
            </w:r>
          </w:p>
        </w:tc>
        <w:tc>
          <w:tcPr>
            <w:tcW w:type="dxa" w:w="23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Backtesting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Walk-forward evaluation, skill scores, drift detection, SHAP attribution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M9</w:t>
            </w:r>
          </w:p>
        </w:tc>
        <w:tc>
          <w:tcPr>
            <w:tcW w:type="dxa" w:w="23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API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/forecast, /outlook, /events, /actions, /backtest — versioned, with provenance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7"/>
                <w:szCs w:val="17"/>
              </w:rPr>
              <w:t xml:space="preserve">M10</w:t>
            </w:r>
          </w:p>
        </w:tc>
        <w:tc>
          <w:tcPr>
            <w:tcW w:type="dxa" w:w="23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Dashboard</w:t>
            </w:r>
          </w:p>
        </w:tc>
        <w:tc>
          <w:tcPr>
            <w:tcW w:type="dxa" w:w="6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Fan chart, net-load stack, event timeline, action queue, regional map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10" w:before="0" w:line="264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★ marks the critical path. Three interface contracts are fixed on day one — build_features, predict and recommend — so the team can work in parallel without collisions.</w:t>
      </w:r>
    </w:p>
    <w:p>
      <w:pPr>
        <w:spacing w:after="240"/>
      </w:pPr>
      <w: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Decision engine</w:t>
      </w:r>
    </w:p>
    <w:p>
      <w:pPr>
        <w:spacing w:after="6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Two derived quantities drive everything. Net load is demand minus forecast renewables; headroom is net load minus must-run capacity. Negative headroom means the grid physically cannot absorb the renewable output.</w:t>
      </w:r>
    </w:p>
    <w:p>
      <w:pPr>
        <w:spacing w:after="40" w:before="110"/>
        <w:jc w:val="center"/>
      </w:pPr>
      <w:r>
        <w:drawing>
          <wp:inline distT="0" distB="0" distL="0" distR="0">
            <wp:extent cx="6096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A78D6"/>
          <w:sz w:val="16"/>
          <w:szCs w:val="16"/>
        </w:rPr>
        <w:t xml:space="preserve">Figure 3  </w:t>
      </w:r>
      <w:r>
        <w:rPr>
          <w:rFonts w:ascii="Calibri" w:cs="Calibri" w:eastAsia="Calibri" w:hAnsi="Calibri"/>
          <w:i/>
          <w:iCs/>
          <w:color w:val="898781"/>
          <w:sz w:val="16"/>
          <w:szCs w:val="16"/>
        </w:rPr>
        <w:t xml:space="preserve">Forecast to action. The P10–P90 band is carried through, so each action inherits the forecast’s confidence.</w:t>
      </w:r>
    </w:p>
    <w:p>
      <w:pPr>
        <w:spacing w:after="60"/>
      </w:pPr>
      <w: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The virtual battery — a constraint turned into an output</w:t>
      </w:r>
    </w:p>
    <w:p>
      <w:pPr>
        <w:spacing w:after="17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Neither region publishes a usable grid-scale storage dispatch series, so storage is declared in configuration and simulated: energy capacity, power rating, round-trip efficiency, state-of-charge bounds and response time. This is the honest option, and it is more useful than real data would have been — because a configurable battery lets us sweep capacity from 0 to 1000 MWh and answer a question the sector is actively asking: what size battery would this region need?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Technology stack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446"/>
      </w:tblGrid>
      <w:tr>
        <w:trPr>
          <w:tblHeader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Choice</w:t>
            </w:r>
          </w:p>
        </w:tc>
        <w:tc>
          <w:tcPr>
            <w:tcW w:type="dxa" w:w="4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Ingestion &amp; validation</w:t>
            </w:r>
          </w:p>
        </w:tc>
        <w:tc>
          <w:tcPr>
            <w:tcW w:type="dxa" w:w="3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Python, httpx, APScheduler, pandera</w:t>
            </w:r>
          </w:p>
        </w:tc>
        <w:tc>
          <w:tcPr>
            <w:tcW w:type="dxa" w:w="4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Declarative schema contracts that fail loudly at every layer boundary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Storage</w:t>
            </w:r>
          </w:p>
        </w:tc>
        <w:tc>
          <w:tcPr>
            <w:tcW w:type="dxa" w:w="3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Parquet + DuckDB</w:t>
            </w:r>
          </w:p>
        </w:tc>
        <w:tc>
          <w:tcPr>
            <w:tcW w:type="dxa" w:w="4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Columnar, fast, zero-ops; TimescaleDB behind the same interface for production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Physics</w:t>
            </w:r>
          </w:p>
        </w:tc>
        <w:tc>
          <w:tcPr>
            <w:tcW w:type="dxa" w:w="3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pvlib-python, windpowerlib, IEC 61400-12</w:t>
            </w:r>
          </w:p>
        </w:tc>
        <w:tc>
          <w:tcPr>
            <w:tcW w:type="dxa" w:w="4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Peer-reviewed reference implementations, not hand-rolled approximations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Models</w:t>
            </w:r>
          </w:p>
        </w:tc>
        <w:tc>
          <w:tcPr>
            <w:tcW w:type="dxa" w:w="3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LightGBM (quantile), MAPIE, SHAP, MLflow</w:t>
            </w:r>
          </w:p>
        </w:tc>
        <w:tc>
          <w:tcPr>
            <w:tcW w:type="dxa" w:w="4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Seconds to train, calibrated, explainable, version-tracked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Serving</w:t>
            </w:r>
          </w:p>
        </w:tc>
        <w:tc>
          <w:tcPr>
            <w:tcW w:type="dxa" w:w="3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FastAPI, Pydantic, React, Recharts/D3</w:t>
            </w:r>
          </w:p>
        </w:tc>
        <w:tc>
          <w:tcPr>
            <w:tcW w:type="dxa" w:w="44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Typed contracts with automatic API documentation</w:t>
            </w:r>
          </w:p>
        </w:tc>
      </w:tr>
    </w:tbl>
    <w:p>
      <w:pPr>
        <w:spacing w:after="15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0CA30C" w:sz="18"/>
              <w:bottom w:val="none"/>
              <w:right w:val="none"/>
            </w:tcBorders>
            <w:shd w:fill="EEF3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5"/>
                <w:szCs w:val="15"/>
              </w:rPr>
              <w:t xml:space="preserve">DEPLOYMENT REALITY</w:t>
            </w:r>
          </w:p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The entire stack is open source — no licence cost, no vendor dependency in the critical path. It trains and serves on a laptop with no GPU. That is not just convenient: a system running on commodity hardware can be deployed at a state load dispatch centre without a procurement cycle.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78D6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2A78D6"/>
          <w:sz w:val="26"/>
          <w:szCs w:val="26"/>
        </w:rPr>
        <w:t xml:space="preserve">5 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Visualisation and Expected Results</w:t>
      </w:r>
    </w:p>
    <w:p>
      <w:pPr>
        <w:spacing w:after="6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The operator-facing output. The upper panel shows solar and wind forecasts with their P10–P90 bands against measured actuals; the lower panel converts them to net load and flags where the grid cannot absorb what is coming.</w:t>
      </w:r>
    </w:p>
    <w:p>
      <w:pPr>
        <w:spacing w:after="40" w:before="110"/>
        <w:jc w:val="center"/>
      </w:pPr>
      <w:r>
        <w:drawing>
          <wp:inline distT="0" distB="0" distL="0" distR="0">
            <wp:extent cx="61722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A78D6"/>
          <w:sz w:val="16"/>
          <w:szCs w:val="16"/>
        </w:rPr>
        <w:t xml:space="preserve">Figure 4  </w:t>
      </w:r>
      <w:r>
        <w:rPr>
          <w:rFonts w:ascii="Calibri" w:cs="Calibri" w:eastAsia="Calibri" w:hAnsi="Calibri"/>
          <w:i/>
          <w:iCs/>
          <w:color w:val="898781"/>
          <w:sz w:val="16"/>
          <w:szCs w:val="16"/>
        </w:rPr>
        <w:t xml:space="preserve">A 72-hour probabilistic outlook. The flagged window is an over-generation event detected two days ahead — charge the battery, then curtail the remainder.</w:t>
      </w:r>
    </w:p>
    <w:p>
      <w:pPr>
        <w:spacing w:after="110" w:before="0" w:line="264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Three things an evaluator should look for in this view: the band widens with lead time and with cloud, because uncertainty is not constant; the actuals stay inside the band, which is what calibration guarantees; and the over-generation window carries a megawatt-hour figure, not just a colour.</w:t>
      </w:r>
    </w:p>
    <w:p>
      <w:r>
        <w:br w:type="page"/>
      </w:r>
    </w:p>
    <w:p>
      <w:pPr>
        <w:spacing w:after="40" w:before="110"/>
        <w:jc w:val="center"/>
      </w:pPr>
      <w:r>
        <w:drawing>
          <wp:inline distT="0" distB="0" distL="0" distR="0">
            <wp:extent cx="60960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A78D6"/>
          <w:sz w:val="16"/>
          <w:szCs w:val="16"/>
        </w:rPr>
        <w:t xml:space="preserve">Figure 5  </w:t>
      </w:r>
      <w:r>
        <w:rPr>
          <w:rFonts w:ascii="Calibri" w:cs="Calibri" w:eastAsia="Calibri" w:hAnsi="Calibri"/>
          <w:i/>
          <w:iCs/>
          <w:color w:val="898781"/>
          <w:sz w:val="16"/>
          <w:szCs w:val="16"/>
        </w:rPr>
        <w:t xml:space="preserve">Left: forecast skill against published international benchmarks. Right: the storage sizing study — a planning output, not just an operational one.</w:t>
      </w:r>
    </w:p>
    <w:p>
      <w:pPr>
        <w:spacing w:after="17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The left panel is the chart that demonstrates understanding. A single 72-hour-average error number hides everything; the error-versus-lead-hour curve shows where skill actually comes from, and shows all four lines — persistence, physics-only, our model, and the operator’s own published forecast.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Accuracy targets, and why they are credible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4246"/>
      </w:tblGrid>
      <w:tr>
        <w:trPr>
          <w:tblHeader/>
        </w:trP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Target</w:t>
            </w:r>
          </w:p>
        </w:tc>
        <w:tc>
          <w:tcPr>
            <w:tcW w:type="dxa" w:w="42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Basis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Regional solar, day-ahead nRMSE (daylight-only)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8–13%</w:t>
            </w:r>
          </w:p>
        </w:tc>
        <w:tc>
          <w:tcPr>
            <w:tcW w:type="dxa" w:w="42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Published range for regional day-ahead forecasts is 10–20% of installed capacity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Regional wind, day-ahead nRMSE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10–15%</w:t>
            </w:r>
          </w:p>
        </w:tc>
        <w:tc>
          <w:tcPr>
            <w:tcW w:type="dxa" w:w="42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Consistent with the 7–19% single-farm MAE band, aggregated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Skill score versus persistence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&gt; 0.40</w:t>
            </w:r>
          </w:p>
        </w:tc>
        <w:tc>
          <w:tcPr>
            <w:tcW w:type="dxa" w:w="42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Persistence is very weak at 24–72 hours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Gap to Elia’s published day-ahead forecast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within 10–25%</w:t>
            </w:r>
          </w:p>
        </w:tc>
        <w:tc>
          <w:tcPr>
            <w:tcW w:type="dxa" w:w="42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Elia is a professional system with proprietary inputs; parity is not the goal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Coverage of the nominal 80% band (PICP)</w:t>
            </w:r>
          </w:p>
        </w:tc>
        <w:tc>
          <w:tcPr>
            <w:tcW w:type="dxa" w:w="1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0.78–0.82</w:t>
            </w:r>
          </w:p>
        </w:tc>
        <w:tc>
          <w:tcPr>
            <w:tcW w:type="dxa" w:w="42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Conformal calibration provides a finite-sample guarantee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70" w:before="0" w:line="264"/>
      </w:pPr>
      <w:r>
        <w:rPr>
          <w:rFonts w:ascii="Calibri" w:cs="Calibri" w:eastAsia="Calibri" w:hAnsi="Calibri"/>
          <w:i/>
          <w:iCs/>
          <w:color w:val="52514E"/>
          <w:sz w:val="19"/>
          <w:szCs w:val="19"/>
        </w:rPr>
        <w:t xml:space="preserve">These targets are deliberately conservative and falsifiable. A target stated inside a published range, with the range cited, survives questioning. An impressive round number with no provenance does not.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Evaluation protocol — decided before any model is trained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Rule</w:t>
            </w:r>
          </w:p>
        </w:tc>
        <w:tc>
          <w:tcPr>
            <w:tcW w:type="dxa" w:w="71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Walk-forward splits, never random</w:t>
            </w:r>
          </w:p>
        </w:tc>
        <w:tc>
          <w:tcPr>
            <w:tcW w:type="dxa" w:w="71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Adjacent hours are near-identical; a random split leaks and inflates every number.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Metrics reported per lead hour</w:t>
            </w:r>
          </w:p>
        </w:tc>
        <w:tc>
          <w:tcPr>
            <w:tcW w:type="dxa" w:w="71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 72-hour average hides where the skill is. The curve is the evidence.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Daylight-only for solar</w:t>
            </w:r>
          </w:p>
        </w:tc>
        <w:tc>
          <w:tcPr>
            <w:tcW w:type="dxa" w:w="71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Half a solar series is zeros. Including them halves the error and means nothing.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Normalised by installed capacity</w:t>
            </w:r>
          </w:p>
        </w:tc>
        <w:tc>
          <w:tcPr>
            <w:tcW w:type="dxa" w:w="71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Comparable across sites and regions of any size.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Matched information cutoff</w:t>
            </w:r>
          </w:p>
        </w:tc>
        <w:tc>
          <w:tcPr>
            <w:tcW w:type="dxa" w:w="71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Elia’s forecast is issued at a fixed time. Comparing against a different issue time is meaningless.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Curtailed intervals excluded</w:t>
            </w:r>
          </w:p>
        </w:tc>
        <w:tc>
          <w:tcPr>
            <w:tcW w:type="dxa" w:w="71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They are censored labels, not weather outcomes.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78D6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2A78D6"/>
          <w:sz w:val="26"/>
          <w:szCs w:val="26"/>
        </w:rPr>
        <w:t xml:space="preserve">6 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Feasibility and Viability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6.1  Can the data be obtained?</w:t>
      </w:r>
    </w:p>
    <w:p>
      <w:pPr>
        <w:spacing w:after="17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Yes — and this was resolved before any modelling was designed. Every critical input is open, free, licence-clear and confirmed accessible. The one material gap is stated rather than hidden: India does not publish an open, sub-hourly, metered regional renewable series. That is precisely why the two-region design exists.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6.2  Can the accuracy be achieved?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846"/>
      </w:tblGrid>
      <w:tr>
        <w:trPr>
          <w:tblHeader/>
        </w:trPr>
        <w:tc>
          <w:tcPr>
            <w:tcW w:type="dxa" w:w="4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Published benchmark</w:t>
            </w:r>
          </w:p>
        </w:tc>
        <w:tc>
          <w:tcPr>
            <w:tcW w:type="dxa" w:w="4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Day-ahead RMSE, regional aggregates</w:t>
            </w:r>
          </w:p>
        </w:tc>
        <w:tc>
          <w:tcPr>
            <w:tcW w:type="dxa" w:w="4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10–20% of installed capacity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Single wind farm MAE, terrain-dependent</w:t>
            </w:r>
          </w:p>
        </w:tc>
        <w:tc>
          <w:tcPr>
            <w:tcW w:type="dxa" w:w="4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7–19%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Mexico — wind: operators versus professional providers</w:t>
            </w:r>
          </w:p>
        </w:tc>
        <w:tc>
          <w:tcPr>
            <w:tcW w:type="dxa" w:w="4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17% vs 13% MAE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Mexico — solar: operators versus professional providers</w:t>
            </w:r>
          </w:p>
        </w:tc>
        <w:tc>
          <w:tcPr>
            <w:tcW w:type="dxa" w:w="4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9% vs 6% MAE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Share of world TSOs using centralised regional forecasting</w:t>
            </w:r>
          </w:p>
        </w:tc>
        <w:tc>
          <w:tcPr>
            <w:tcW w:type="dxa" w:w="4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~80%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Optimal NWP combination</w:t>
            </w:r>
          </w:p>
        </w:tc>
        <w:tc>
          <w:tcPr>
            <w:tcW w:type="dxa" w:w="4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5–6 models; minimum one global + one regional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7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Two findings shape our design directly. Error grows nearly linearly with horizon, which validates treating lead time as a first-class feature. And combination forecasts beat single models — our three-model ingest sits at the practical floor of the recommendation. The market-structure finding matters too: a regional, centralised, multi-asset platform is the configuration the sector has converged on.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6.3  Can it be operated?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46"/>
      </w:tblGrid>
      <w:tr>
        <w:trPr>
          <w:tblHeader/>
        </w:trPr>
        <w:tc>
          <w:tcPr>
            <w:tcW w:type="dxa" w:w="3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Assessment</w:t>
            </w:r>
          </w:p>
        </w:tc>
        <w:tc>
          <w:tcPr>
            <w:tcW w:type="dxa" w:w="33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Compute</w:t>
            </w:r>
          </w:p>
        </w:tc>
        <w:tc>
          <w:tcPr>
            <w:tcW w:type="dxa" w:w="3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7"/>
                <w:szCs w:val="17"/>
              </w:rPr>
              <w:t xml:space="preserve">Trivial</w:t>
            </w:r>
          </w:p>
        </w:tc>
        <w:tc>
          <w:tcPr>
            <w:tcW w:type="dxa" w:w="33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Full model set trains in under 5 minutes on one CPU core. Inference under 1 second.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Operating cost</w:t>
            </w:r>
          </w:p>
        </w:tc>
        <w:tc>
          <w:tcPr>
            <w:tcW w:type="dxa" w:w="3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7"/>
                <w:szCs w:val="17"/>
              </w:rPr>
              <w:t xml:space="preserve">Negligible</w:t>
            </w:r>
          </w:p>
        </w:tc>
        <w:tc>
          <w:tcPr>
            <w:tcW w:type="dxa" w:w="33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One small VM. Entire stack open source.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Steady-state effort</w:t>
            </w:r>
          </w:p>
        </w:tc>
        <w:tc>
          <w:tcPr>
            <w:tcW w:type="dxa" w:w="3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7"/>
                <w:szCs w:val="17"/>
              </w:rPr>
              <w:t xml:space="preserve">Near-unattended</w:t>
            </w:r>
          </w:p>
        </w:tc>
        <w:tc>
          <w:tcPr>
            <w:tcW w:type="dxa" w:w="33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Automated ingestion, nightly retrain and recalibration. Human effort is review, not operation.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Scaling</w:t>
            </w:r>
          </w:p>
        </w:tc>
        <w:tc>
          <w:tcPr>
            <w:tcW w:type="dxa" w:w="3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7"/>
                <w:szCs w:val="17"/>
              </w:rPr>
              <w:t xml:space="preserve">Configuration only</w:t>
            </w:r>
          </w:p>
        </w:tc>
        <w:tc>
          <w:tcPr>
            <w:tcW w:type="dxa" w:w="33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 new region is a YAML file. No architectural rewrite for more regions, technologies or resolutions.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Engineering risk</w:t>
            </w:r>
          </w:p>
        </w:tc>
        <w:tc>
          <w:tcPr>
            <w:tcW w:type="dxa" w:w="3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9C6708"/>
                <w:sz w:val="17"/>
                <w:szCs w:val="17"/>
              </w:rPr>
              <w:t xml:space="preserve">Moderate</w:t>
            </w:r>
          </w:p>
        </w:tc>
        <w:tc>
          <w:tcPr>
            <w:tcW w:type="dxa" w:w="33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Archetype weighting is the genuine unknown; mitigated by a clear-sky fitting procedure.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6.4  Regulatory and market fit</w:t>
      </w:r>
    </w:p>
    <w:p>
      <w:pPr>
        <w:spacing w:after="13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The timing is unusually favourable. CERC halved the permitted deviation bands effective 1 April 2026 and is phasing the tolerance mechanism to zero by FY 2031. Forecast accuracy moved from an operational preference to a direct, escalating line item on every renewable generator’s P&amp;L — in the current financial year. State commissions are moving in parallel.</w:t>
      </w:r>
    </w:p>
    <w:p>
      <w:pPr>
        <w:spacing w:after="110" w:before="0" w:line="264"/>
      </w:pPr>
      <w:r>
        <w:rPr>
          <w:rFonts w:ascii="Calibri" w:cs="Calibri" w:eastAsia="Calibri" w:hAnsi="Calibri"/>
          <w:i/>
          <w:iCs/>
          <w:color w:val="52514E"/>
          <w:sz w:val="19"/>
          <w:szCs w:val="19"/>
        </w:rPr>
        <w:t xml:space="preserve">Stated honestly: these regulations face active legal challenge, and the Karnataka High Court has stayed CERC’s revised mechanism. But the direction of travel — tighter tolerances, greater financial consequence for error — is consistent across CERC and multiple state commissions, and the curtailment problem exists regardless of settlement rules. The case does not rest on one regulation.</w:t>
      </w:r>
    </w:p>
    <w:p>
      <w:r>
        <w:br w:type="page"/>
      </w:r>
    </w:p>
    <w:p>
      <w:pPr>
        <w:pStyle w:val="Heading1"/>
        <w:pBdr>
          <w:bottom w:val="single" w:color="2A78D6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2A78D6"/>
          <w:sz w:val="26"/>
          <w:szCs w:val="26"/>
        </w:rPr>
        <w:t xml:space="preserve">7 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Impact and Benefits</w:t>
      </w:r>
    </w:p>
    <w:p>
      <w:pPr>
        <w:spacing w:after="15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Headline figures below are measured by third parties. Derived figures show their arithmetic and mark their assumptions, so any of them can be recomputed with a different input.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7.1  What better forecasting is worth — measured elsewhere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46"/>
      </w:tblGrid>
      <w:tr>
        <w:trPr>
          <w:tblHeader/>
        </w:trPr>
        <w:tc>
          <w:tcPr>
            <w:tcW w:type="dxa" w:w="2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Study</w:t>
            </w:r>
          </w:p>
        </w:tc>
        <w:tc>
          <w:tcPr>
            <w:tcW w:type="dxa" w:w="6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NREL, Western U.S.</w:t>
            </w:r>
          </w:p>
        </w:tc>
        <w:tc>
          <w:tcPr>
            <w:tcW w:type="dxa" w:w="6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At 24% wind penetration, a 20% improvement in forecast accuracy yielded USD 195 million in annual operating cost savings.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Berkeley Lab</w:t>
            </w:r>
          </w:p>
        </w:tc>
        <w:tc>
          <w:tcPr>
            <w:tcW w:type="dxa" w:w="6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NWP-based solar forecasts cost USD 1.00/MWh in errors, versus USD 1.50/MWh for persistence — a 33% reduction in error cost.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CENACE, Mexico</w:t>
            </w:r>
          </w:p>
        </w:tc>
        <w:tc>
          <w:tcPr>
            <w:tcW w:type="dxa" w:w="68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Upscaled forecasting across the national fleet would correct 622 MW/hr of deviation.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7.2  Value model, with the arithmetic shown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200"/>
        <w:gridCol w:w="1946"/>
      </w:tblGrid>
      <w:tr>
        <w:trPr>
          <w:tblHeader/>
        </w:trPr>
        <w:tc>
          <w:tcPr>
            <w:tcW w:type="dxa" w:w="5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Value</w:t>
            </w:r>
          </w:p>
        </w:tc>
        <w:tc>
          <w:tcPr>
            <w:tcW w:type="dxa" w:w="19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Basis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India curtailment, FY 2025-26</w:t>
            </w:r>
          </w:p>
        </w:tc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2,100 GWh</w:t>
            </w:r>
          </w:p>
        </w:tc>
        <w:tc>
          <w:tcPr>
            <w:tcW w:type="dxa" w:w="19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CA30C"/>
                <w:sz w:val="15"/>
                <w:szCs w:val="15"/>
              </w:rPr>
              <w:t xml:space="preserve">measured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Share addressable by anticipation rather than physical limits</w:t>
            </w:r>
          </w:p>
        </w:tc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25%</w:t>
            </w:r>
          </w:p>
        </w:tc>
        <w:tc>
          <w:tcPr>
            <w:tcW w:type="dxa" w:w="19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898781"/>
                <w:sz w:val="15"/>
                <w:szCs w:val="15"/>
              </w:rPr>
              <w:t xml:space="preserve">assumed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Recoverable with 24–72 h forecasting plus dispatchable storage</w:t>
            </w:r>
          </w:p>
        </w:tc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40%</w:t>
            </w:r>
          </w:p>
        </w:tc>
        <w:tc>
          <w:tcPr>
            <w:tcW w:type="dxa" w:w="19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898781"/>
                <w:sz w:val="15"/>
                <w:szCs w:val="15"/>
              </w:rPr>
              <w:t xml:space="preserve">assumed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EF3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Recoverable energy</w:t>
            </w:r>
          </w:p>
        </w:tc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EF3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210 GWh / yr</w:t>
            </w:r>
          </w:p>
        </w:tc>
        <w:tc>
          <w:tcPr>
            <w:tcW w:type="dxa" w:w="19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EF3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78D6"/>
                <w:sz w:val="15"/>
                <w:szCs w:val="15"/>
              </w:rPr>
              <w:t xml:space="preserve">derived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EF3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Value at ₹3.00/kWh avoided cost</w:t>
            </w:r>
          </w:p>
        </w:tc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EF3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≈ ₹63 crore / yr</w:t>
            </w:r>
          </w:p>
        </w:tc>
        <w:tc>
          <w:tcPr>
            <w:tcW w:type="dxa" w:w="19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EF3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78D6"/>
                <w:sz w:val="15"/>
                <w:szCs w:val="15"/>
              </w:rPr>
              <w:t xml:space="preserve">derived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EF3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CO₂ avoided at 0.71 tCO₂/MWh</w:t>
            </w:r>
          </w:p>
        </w:tc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EF3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≈ 149,000 t / yr</w:t>
            </w:r>
          </w:p>
        </w:tc>
        <w:tc>
          <w:tcPr>
            <w:tcW w:type="dxa" w:w="19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EF3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78D6"/>
                <w:sz w:val="15"/>
                <w:szCs w:val="15"/>
              </w:rPr>
              <w:t xml:space="preserve">derived</w:t>
            </w:r>
          </w:p>
        </w:tc>
      </w:tr>
    </w:tbl>
    <w:p>
      <w:pPr>
        <w:spacing w:after="130"/>
      </w:pPr>
      <w:r>
        <w:t xml:space="preserve"/>
      </w:r>
    </w:p>
    <w:p>
      <w:pPr>
        <w:spacing w:after="160" w:before="0" w:line="264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The 25% assumption is deliberately conservative: Ember attributes roughly 64% of Q1 2026 curtailment to transmission constraints, leaving a ~36% residual. We use less than that residual rather than more.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7.3  Benefits by stakeholder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646"/>
      </w:tblGrid>
      <w:tr>
        <w:trPr>
          <w:tblHeader/>
        </w:trPr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Stakeholder</w:t>
            </w:r>
          </w:p>
        </w:tc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Current pain</w:t>
            </w:r>
          </w:p>
        </w:tc>
        <w:tc>
          <w:tcPr>
            <w:tcW w:type="dxa" w:w="36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What they gain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Grid operators / SLDCs</w:t>
            </w:r>
          </w:p>
        </w:tc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Scheduling conventional plant against uncertain renewable output</w:t>
            </w:r>
          </w:p>
        </w:tc>
        <w:tc>
          <w:tcPr>
            <w:tcW w:type="dxa" w:w="36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24–72 h net-load outlook with calibrated bands; ramp alerts with six hours of lead time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Renewable generators</w:t>
            </w:r>
          </w:p>
        </w:tc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Deviation exposure at ±5% from April 2026</w:t>
            </w:r>
          </w:p>
        </w:tc>
        <w:tc>
          <w:tcPr>
            <w:tcW w:type="dxa" w:w="36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Higher-accuracy schedules and anticipated curtailment windows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Energy traders</w:t>
            </w:r>
          </w:p>
        </w:tc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Position-taking without quantified uncertainty</w:t>
            </w:r>
          </w:p>
        </w:tc>
        <w:tc>
          <w:tcPr>
            <w:tcW w:type="dxa" w:w="36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P10/P50/P90 for position sizing and risk limits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Storage operators</w:t>
            </w:r>
          </w:p>
        </w:tc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Charge and discharge timing set by heuristics</w:t>
            </w:r>
          </w:p>
        </w:tc>
        <w:tc>
          <w:tcPr>
            <w:tcW w:type="dxa" w:w="36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Optimised dispatch against a 72-hour outlook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Planners and regulators</w:t>
            </w:r>
          </w:p>
        </w:tc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Where to site storage and transmission</w:t>
            </w:r>
          </w:p>
        </w:tc>
        <w:tc>
          <w:tcPr>
            <w:tcW w:type="dxa" w:w="36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Regional curtailment analytics and the battery sizing curve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D03B3B" w:sz="18"/>
              <w:bottom w:val="none"/>
              <w:right w:val="none"/>
            </w:tcBorders>
            <w:shd w:fill="EEF3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5"/>
                <w:szCs w:val="15"/>
              </w:rPr>
              <w:t xml:space="preserve">WHERE THESE CLAIMS STOP</w:t>
            </w:r>
          </w:p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Forecasting does not build transmission lines, and Ember attributes most Indian curtailment to transmission constraints. We address the anticipation-driven remainder only. The reserve-reduction benefit is the softest figure we publish, because it requires an operator to change institutional practice on the strength of a calibration plot — that is slow, and we do not pretend otherwise. Our accuracy claim is validated on Belgian metered data; Indian results demonstrate transferability, not measured accuracy.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78D6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2A78D6"/>
          <w:sz w:val="26"/>
          <w:szCs w:val="26"/>
        </w:rPr>
        <w:t xml:space="preserve">8 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Risks, Limitations and Roadmap</w:t>
      </w:r>
    </w:p>
    <w:p>
      <w:pPr>
        <w:spacing w:after="40" w:before="110"/>
        <w:jc w:val="center"/>
      </w:pPr>
      <w:r>
        <w:drawing>
          <wp:inline distT="0" distB="0" distL="0" distR="0">
            <wp:extent cx="6096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A78D6"/>
          <w:sz w:val="16"/>
          <w:szCs w:val="16"/>
        </w:rPr>
        <w:t xml:space="preserve">Figure 6  </w:t>
      </w:r>
      <w:r>
        <w:rPr>
          <w:rFonts w:ascii="Calibri" w:cs="Calibri" w:eastAsia="Calibri" w:hAnsi="Calibri"/>
          <w:i/>
          <w:iCs/>
          <w:color w:val="898781"/>
          <w:sz w:val="16"/>
          <w:szCs w:val="16"/>
        </w:rPr>
        <w:t xml:space="preserve">Build sequence. Each phase ends at a demonstrable checkpoint — a phase that ends with “the refactor is nearly done” is where long projects die.</w:t>
      </w:r>
    </w:p>
    <w:p>
      <w:pPr>
        <w:spacing w:after="60"/>
      </w:pPr>
      <w: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Principal risks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746"/>
      </w:tblGrid>
      <w:tr>
        <w:trPr>
          <w:tblHeader/>
        </w:trPr>
        <w:tc>
          <w:tcPr>
            <w:tcW w:type="dxa" w:w="2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Severity</w:t>
            </w:r>
          </w:p>
        </w:tc>
        <w:tc>
          <w:tcPr>
            <w:tcW w:type="dxa" w:w="57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Train/serve skew — training on reanalysis, serving on forecasts</w:t>
            </w:r>
          </w:p>
        </w:tc>
        <w:tc>
          <w:tcPr>
            <w:tcW w:type="dxa" w:w="1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7"/>
                <w:szCs w:val="17"/>
              </w:rPr>
              <w:t xml:space="preserve">High</w:t>
            </w:r>
          </w:p>
        </w:tc>
        <w:tc>
          <w:tcPr>
            <w:tcW w:type="dxa" w:w="57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Same source and variable names both sides; a 7-day bias correction fitted on live forecasts; conformal recalibration on live errors. Residual skew remains — this is our largest honest limitation.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Curtailment unflagged in source data</w:t>
            </w:r>
          </w:p>
        </w:tc>
        <w:tc>
          <w:tcPr>
            <w:tcW w:type="dxa" w:w="1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6708"/>
                <w:sz w:val="17"/>
                <w:szCs w:val="17"/>
              </w:rPr>
              <w:t xml:space="preserve">Medium</w:t>
            </w:r>
          </w:p>
        </w:tc>
        <w:tc>
          <w:tcPr>
            <w:tcW w:type="dxa" w:w="57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Heuristic detection where output flat-lines below the physics estimate under good conditions; excluded from training.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Archetype weights fail to converge</w:t>
            </w:r>
          </w:p>
        </w:tc>
        <w:tc>
          <w:tcPr>
            <w:tcW w:type="dxa" w:w="1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6708"/>
                <w:sz w:val="17"/>
                <w:szCs w:val="17"/>
              </w:rPr>
              <w:t xml:space="preserve">Medium</w:t>
            </w:r>
          </w:p>
        </w:tc>
        <w:tc>
          <w:tcPr>
            <w:tcW w:type="dxa" w:w="57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Fall back to a single average archetype. Accuracy degrades; the pipeline stands. We report the degradation.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Cannot match the operator’s own forecast</w:t>
            </w:r>
          </w:p>
        </w:tc>
        <w:tc>
          <w:tcPr>
            <w:tcW w:type="dxa" w:w="1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7"/>
                <w:szCs w:val="17"/>
              </w:rPr>
              <w:t xml:space="preserve">Low</w:t>
            </w:r>
          </w:p>
        </w:tc>
        <w:tc>
          <w:tcPr>
            <w:tcW w:type="dxa" w:w="57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Never claimed. The target is to beat persistence and close the gap to a stated margin using only open data.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Live API failure during demonstration</w:t>
            </w:r>
          </w:p>
        </w:tc>
        <w:tc>
          <w:tcPr>
            <w:tcW w:type="dxa" w:w="11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7"/>
                <w:szCs w:val="17"/>
              </w:rPr>
              <w:t xml:space="preserve">Low</w:t>
            </w:r>
          </w:p>
        </w:tc>
        <w:tc>
          <w:tcPr>
            <w:tcW w:type="dxa" w:w="57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 replay mode serves a cached week of forecast runs and all model artifacts. We build the live path and present from cache.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What would change our mind</w:t>
      </w:r>
    </w:p>
    <w:p>
      <w:pPr>
        <w:spacing w:after="100" w:before="0" w:line="264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Each of these is a measurable outcome of the evaluation harness, not a matter of opinion. Building that harness in phase 0 is what makes it possible to be wrong in public and say so.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If the physics baseline does not beat persistence at 24–72 hours, the physics-first thesis is wrong for this horizon.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If the residual model does not beat a direct model on the raw target, residual learning adds nothing here and we simplify.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If archetype weighting does not beat a single average archetype, the regional physics refinement is over-engineering and we remove it.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If conformal intervals need more than half of capacity width, the problem may be too uncertain at 72 hours for reserve sizing, and we reduce the advertised horizon.</w:t>
      </w:r>
    </w:p>
    <w:p>
      <w:r>
        <w:br w:type="page"/>
      </w:r>
    </w:p>
    <w:p>
      <w:pPr>
        <w:pStyle w:val="Heading1"/>
        <w:pBdr>
          <w:bottom w:val="single" w:color="2A78D6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2A78D6"/>
          <w:sz w:val="26"/>
          <w:szCs w:val="26"/>
        </w:rPr>
        <w:t xml:space="preserve">9 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Research and References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Datasets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46"/>
      </w:tblGrid>
      <w:tr>
        <w:trPr>
          <w:tblHeader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Source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Contents and access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Elia Open Data Portal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ods031/032 wind, ods086/087 solar, ods001/002/003 load. Measured generation, monitored capacity, operator day-ahead and week-ahead forecasts with P10/P90, and demand — all at 15 minutes, 2013 onward. Free, no API key. opendata.elia.be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Open-Meteo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Forecast and Historical APIs. Shortwave, direct-normal and diffuse radiation, global tilted irradiance, cloud cover by level, wind at 10/80/120/180 m, gusts. ECMWF, ICON, GFS and ensemble endpoints. No key for non-commercial use. open-meteo.com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Historical and modelled renewable energy production for India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University of Bristol. Hourly wind and solar capacity factors 1979–2022, state-level and 1°×1° gridded, installed capacity by state, georeferenced plant locations. CSV, NetCDF, GeoJSON. Zenodo DOI 10.5281/zenodo.7824872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Open Power System Data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35 European countries, generation, capacity and load; Germany resolved to four TSO zones. Used as a cross-check region. data.open-power-system-data.org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SDWPF (KDD Cup 2022)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Baidu / Longyuan. 134 turbines, 4.7 million records, 10-minute interval, with turbine x/y coordinates enabling wake and graph modelling. arXiv:2208.04360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GEFCom2014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The reference academic benchmark. Wind: 10 farms with ECMWF u/v at 10 m and 100 m. Solar: 3 plants with 12 ECMWF variables. Evaluated by pinball loss over 99 quantiles. Won by a generalized additive tree ensemble.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Methodology, standards and regulation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46"/>
      </w:tblGrid>
      <w:tr>
        <w:trPr>
          <w:tblHeader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Source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2514E"/>
                <w:sz w:val="16"/>
                <w:szCs w:val="16"/>
              </w:rPr>
              <w:t xml:space="preserve">What it establishes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GET.transform (2024), International Best Practices in Solar and Wind Power Forecasting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Accuracy benchmarks by country and context; error grows nearly linearly with horizon; ~80% of world TSOs use centralised forecasting; optimal NWP combination is 5–6 models; quantified operating-cost benefits (NREL, Berkeley Lab, CENACE).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Development of a day-ahead solar power forecasting model chain for a 250 MW PV park in India (2023)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ECMWF and NCMRWF over India carry systematic positive irradiance bias, correctable to near zero with 20–25 days of training. A linear combination of two NWP models outperformed either alone.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Conformal prediction literature, 2025–2026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Climate-invariant conformal intervals for multi-horizon solar and wind; adaptive conformal inference for PV; conformalised quantile regression — the two-stage pattern used here.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IEC 61400-12; Ineichen–Perez; SAPM; Perez transposition; NREL SPA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The physical models underlying the feature engine, implemented via pvlib-python and windpowerlib.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CERC Deviation Settlement Mechanism, notified for 1 April 2026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Solar and hybrid bands ±10% → ±5%; wind ±15% → ±10%. X factor phased 100% to 0% by FY 2031. Cited alongside the Karnataka High Court stay and industry objections.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Ember — India curtailment analysis, 2026</w:t>
            </w:r>
          </w:p>
        </w:tc>
        <w:tc>
          <w:tcPr>
            <w:tcW w:type="dxa" w:w="7046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2.1 TWh curtailed FY 2025-26 (1.3% of renewable generation); 300 GWh of ~470 GWh in Q1 2026 from transmission constraints; 34 GWh lost on 30 March 2026; ~10 GWh of storage needed; coal cycling to ~55% of rated capacity at midday.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top w:val="single" w:color="D8D6CE" w:sz="6" w:space="7"/>
        </w:pBdr>
        <w:spacing w:after="0" w:before="80" w:line="250"/>
      </w:pPr>
      <w:r>
        <w:rPr>
          <w:rFonts w:ascii="Calibri" w:cs="Calibri" w:eastAsia="Calibri" w:hAnsi="Calibri"/>
          <w:i/>
          <w:iCs/>
          <w:color w:val="898781"/>
          <w:sz w:val="17"/>
          <w:szCs w:val="17"/>
        </w:rPr>
        <w:t xml:space="preserve">Citation practice — every external number carries its source and date; every derived number shows its arithmetic and marks its assumptions; contested sources are cited alongside the challenge, and limitations are stated before a reader finds them.</w:t>
      </w:r>
    </w:p>
    <w:sectPr>
      <w:footerReference w:type="default" r:id="rId7"/>
      <w:pgSz w:w="11906" w:h="16838" w:orient="portrait"/>
      <w:pgMar w:top="1080" w:right="1080" w:bottom="1000" w:left="1080" w:header="708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6CE" w:sz="4" w:space="6"/>
      </w:pBdr>
      <w:jc w:val="center"/>
    </w:pPr>
    <w:r>
      <w:rPr>
        <w:rFonts w:ascii="Calibri" w:cs="Calibri" w:eastAsia="Calibri" w:hAnsi="Calibri"/>
        <w:color w:val="898781"/>
        <w:sz w:val="14"/>
        <w:szCs w:val="14"/>
      </w:rPr>
      <w:t xml:space="preserve">Team ZERO BIAS  ·  Krish Parmar  ·  AI-Powered Renewable Generation Forecasting Platform          </w:t>
    </w:r>
    <w:r>
      <w:rPr>
        <w:rFonts w:ascii="Calibri" w:cs="Calibri" w:eastAsia="Calibri" w:hAnsi="Calibri"/>
        <w:b/>
        <w:bCs/>
        <w:color w:val="898781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2514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B0B0B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B0B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78f36167cb07b5e6941f319ecacc6b608c8c9ac.png"/><Relationship Id="rId9" Type="http://schemas.openxmlformats.org/officeDocument/2006/relationships/image" Target="media/96faa15dcd1fafaa8f0ec220bf6d8c6641b940f6.png"/><Relationship Id="rId10" Type="http://schemas.openxmlformats.org/officeDocument/2006/relationships/image" Target="media/28c6a4c982a5a2761be3a90ccafbe2ec3e82dbb6.png"/><Relationship Id="rId11" Type="http://schemas.openxmlformats.org/officeDocument/2006/relationships/image" Target="media/2c887c6fe35f616c11e810b86903d6d2ee8ec96f.png"/><Relationship Id="rId12" Type="http://schemas.openxmlformats.org/officeDocument/2006/relationships/image" Target="media/3c3a495c0dc7cac5ae88397e8056bf535d428cd5.png"/><Relationship Id="rId13" Type="http://schemas.openxmlformats.org/officeDocument/2006/relationships/image" Target="media/03f7d88dac005b75c16bd6fdfb24c867b0aa8e8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Renewable Generation Forecasting Platform</dc:title>
  <dc:creator>Team ZERO BIAS</dc:creator>
  <dc:description>Technical proposal — Team ZERO BIAS</dc:description>
  <cp:lastModifiedBy>Un-named</cp:lastModifiedBy>
  <cp:revision>1</cp:revision>
  <dcterms:created xsi:type="dcterms:W3CDTF">2026-09-11T20:21:54.306Z</dcterms:created>
  <dcterms:modified xsi:type="dcterms:W3CDTF">2026-09-11T20:21:54.306Z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