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UC 01 / User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This UC involves the process of users logging into the bank management system to access their accounts securely.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Secondary Actor: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bank management system is operational.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has valid credentials (username and password).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navigates to the login page of the bank management system.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enters their username and password.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System validates the user's credentials.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If the credentials are valid, the system grants access to the user's account.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If the credentials are invalid, the system displays an error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Performance: The login process should be fast and responsive, with minimal delay.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Security: The system should implement strong encryption methods to protect user credentials during transmission and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The user gains access to their account if the login credentials are valid.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UC 02 / Account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This UC involves the management of user accounts within the bank management system, including opening new accounts and closing existing 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Secondary Actor: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is authenticated and authorized to manage accounts.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bank management system is operational.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selects the option to manage accounts.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chooses to either open a new account or close an existing one.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For opening a new account: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provides necessary information such as account type and personal details.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System validates the information and creates the new account.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For closing an existing account: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selects the account to be closed.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System prompts for confirmation.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0" w:beforeAutospacing="0" w:line="240" w:lineRule="auto"/>
              <w:ind w:left="144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If confirmed, the system closes the account and updates the database accordingly.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Reliability: The system should ensure that account management operations are executed accurately and reliably without data loss.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Scalability: The system should be able to handle a large number of account management requests efficiently, especially during peak times.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For opening a new account: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new account is successfully created and added to the system.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receives confirmation of the successful account creation.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For closing an existing account: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selected account is successfully closed, and it is no longer active in the system.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Any associated funds or transactions related to the closed account are appropriately handled and accounted for in the system.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0" w:beforeAutospacing="0"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receives confirmation of the successful closure of the account.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UC 03 / Transaction History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This UC involves allowing users to view their transaction history, including details such as date, time, amount, and transaction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Secondary Actor: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is authenticated and authorized to access transaction history.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bank management system is operational.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navigates to the transaction history section.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selects the account for which they want to view transaction history.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System retrieves and displays the transaction history for the selected account, including details such as date, time, amount, and transaction type.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Users can filter or search for specific transactions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Usability: The transaction history interface should be intuitive and user-friendly, allowing users to easily navigate and understand their transaction records.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Performance: The system should retrieve and display transaction history quickly, even when dealing with large datasets.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successfully views their transaction history.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system remains in a stable state, with no changes to account balances or transaction records.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Any filters or search criteria applied by the user are reset, leaving the transaction history interface ready for future use.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UC 04 / Online Banking Services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This UC involves providing online banking services to users, allowing them to access their accounts, make transactions, and manage their finances remotely.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highlight w:val="white"/>
                <w:rtl w:val="0"/>
              </w:rPr>
              <w:t xml:space="preserve">Secondary Actor: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is authenticated and authorized to access online banking services.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bank management system is operational.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 logs into the online banking portal.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Users can perform various banking activities such as checking account balances, making transfers, paying bills, and setting up alerts.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System processes the user's requests securely and updates the account information accordingly.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Users receive confirmation and updates on the status of their transactions.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890624999999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Security: The online banking portal should employ strong security measures to protect user data and transactions from unauthorized access and fraud.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Accessibility: The online banking portal should be accessible across multiple devices and platforms, including web browsers and mobile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 successfully completes their online banking activities, such as checking balances, making transactions, or setting up alerts.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system accurately processes and records the user's transactions and updates account information as necessary.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Any alerts or notifications set up by the user are active and functioning as intended.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4"/>
                <w:szCs w:val="24"/>
                <w:rtl w:val="0"/>
              </w:rPr>
              <w:t xml:space="preserve">The user's session is securely terminated, ensuring that no unauthorized access to their account occurs after they have finished using the online banking services.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