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Зам. начальника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капитан</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Назаров В. Ф.</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май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2</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3</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Обеспечение функционирования информационных систем</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капитан</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Назаров В. Ф.</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