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Начальник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полковник</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Белкин А. И.</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3 отделение ИАО</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июнь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Формирование отчета по объему трафика за предыдущий месяц</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30.06.2022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Петров И. А.</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30.06.2022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Булгаков Н. Э.</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2</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Начальник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полковник</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Белкин А. И.</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