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BFF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start w:w="420" w:type="dxa"/>
              <w:bottom w:w="300" w:type="dxa"/>
              <w:end w:w="420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50"/>
              </w:rPr>
              <w:t>Hong Kong Companies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33118C"/>
                <w:sz w:val="21"/>
              </w:rPr>
              <w:t>Hong Kong · Client Information &amp; Advisory Guide</w:t>
            </w:r>
          </w:p>
        </w:tc>
      </w:tr>
    </w:tbl>
    <w:p>
      <w:pPr>
        <w:spacing w:before="0" w:after="200" w:line="259" w:lineRule="auto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87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01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Incorporation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2"/>
              </w:rPr>
              <w:t>Company Incorporation</w:t>
            </w:r>
          </w:p>
          <w:p>
            <w:pPr>
              <w:spacing w:before="0" w:after="80" w:line="271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Incorporating a company in Hong Kong typically takes 7-10 working days. To complete the incorporation process, we will need a copy of the passport and proof of address (issued within the last 3 months) for all directors and shareholders.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51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02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Taxation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2"/>
              </w:rPr>
              <w:t>Taxation</w:t>
            </w:r>
          </w:p>
          <w:p>
            <w:pPr>
              <w:spacing w:before="0" w:after="80" w:line="271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Non-Hong Kong sourced income is not subject to Hong Kong taxes.</w:t>
            </w:r>
          </w:p>
          <w:p>
            <w:pPr>
              <w:spacing w:before="0" w:after="80" w:line="271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Hong Kong sourced income is taxed at 8.25% on profits up to HK$2 million, and at 16.5% on profits exceeding HK$2 million.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51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03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Public Records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2"/>
              </w:rPr>
              <w:t>Public Records</w:t>
            </w:r>
          </w:p>
          <w:p>
            <w:pPr>
              <w:spacing w:before="0" w:after="80" w:line="271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Hong Kong maintains a public register of directors and shareholders, meaning that anyone can access company information for a small fee.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87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04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Governance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2"/>
              </w:rPr>
              <w:t>Shareholders and Directors</w:t>
            </w:r>
          </w:p>
          <w:p>
            <w:pPr>
              <w:spacing w:before="0" w:after="80" w:line="271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Hong Kong companies allow corporate directors, but at least one director must be an individual.</w:t>
            </w:r>
          </w:p>
          <w:p>
            <w:pPr>
              <w:spacing w:before="0" w:after="80" w:line="271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There is no requirement to have a local director.</w:t>
            </w:r>
          </w:p>
          <w:p>
            <w:pPr>
              <w:spacing w:before="0" w:after="80" w:line="271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Shareholders can be either foreign corporations or individuals.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6"/>
          <w:spacing w:val="27"/>
        </w:rPr>
        <w:t>H O N G   K O N G  ·  A D V I S O R Y   G U I D E</w:t>
      </w:r>
    </w:p>
    <w:p>
      <w:pPr>
        <w:spacing w:before="0" w:after="80" w:line="240" w:lineRule="auto"/>
      </w:pPr>
      <w:r>
        <w:rPr>
          <w:rFonts w:ascii="Arial" w:hAnsi="Arial" w:eastAsia="Arial"/>
          <w:b/>
          <w:i w:val="0"/>
          <w:color w:val="07142E"/>
          <w:sz w:val="56"/>
        </w:rPr>
        <w:t>Hong Kong Companies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i/>
          <w:color w:val="657083"/>
          <w:sz w:val="20"/>
        </w:rPr>
        <w:t>Client Information &amp; Advisory Guide · continued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51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05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Accounts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2"/>
              </w:rPr>
              <w:t>Accounts and Audit</w:t>
            </w:r>
          </w:p>
          <w:p>
            <w:pPr>
              <w:spacing w:before="0" w:after="80" w:line="271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"All Hong Kong companies, except for dormant (non-trading) companies, are required to prepare annual financial statements and appoint a Hong Kong-registered CPA."</w:t>
            </w:r>
          </w:p>
        </w:tc>
      </w:tr>
    </w:tbl>
    <w:p>
      <w:pPr>
        <w:spacing w:before="0" w:after="100" w:line="259" w:lineRule="auto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51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06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Capital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2"/>
              </w:rPr>
              <w:t>Share Capital</w:t>
            </w:r>
          </w:p>
          <w:p>
            <w:pPr>
              <w:spacing w:before="0" w:after="80" w:line="271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A Hong Kong company can be registered with a minimum share capital of just HK$1. This capital can be issued immediately, and you can increase the paid-up capital at any time in the future.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51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07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Banking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2"/>
              </w:rPr>
              <w:t>Banking</w:t>
            </w:r>
          </w:p>
          <w:p>
            <w:pPr>
              <w:spacing w:before="0" w:after="80" w:line="271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We offer assistance in opening a corporate bank account with digital banks (Fintechs) in Hong Kong with Airwallex, Currenxie, Statrys, Wise and Aspire.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51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08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Our Fees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2"/>
              </w:rPr>
              <w:t>Fees</w:t>
            </w:r>
          </w:p>
          <w:p>
            <w:pPr>
              <w:spacing w:before="0" w:after="80" w:line="271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Incorporation, Company Secretary, and Registered Office Fees, Business Registration Certificate Fees: USD 1,850 per year along with year-round support for all company-related matters from us.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3"/>
      </w:tblGrid>
      <w:tr>
        <w:trPr>
          <w:trHeight w:val="1872" w:hRule="atLeast"/>
        </w:trPr>
        <w:tc>
          <w:tcPr>
            <w:tcW w:type="dxa" w:w="2376"/>
            <w:tcBorders>
              <w:top w:val="nil"/>
              <w:left w:val="nil"/>
              <w:bottom w:val="nil"/>
              <w:right w:val="single" w:color="4B1FCF" w:sz="10"/>
            </w:tcBorders>
            <w:vAlign w:val="top"/>
            <w:shd w:fill="F1EBFF"/>
            <w:tcMar>
              <w:top w:w="180" w:type="dxa"/>
              <w:start w:w="190" w:type="dxa"/>
              <w:bottom w:w="160" w:type="dxa"/>
              <w:end w:w="130" w:type="dxa"/>
            </w:tcMar>
          </w:tcPr>
          <w:p>
            <w:pPr>
              <w:spacing w:before="0" w:after="60" w:line="228" w:lineRule="auto"/>
            </w:pPr>
            <w:r>
              <w:rPr>
                <w:rFonts w:ascii="Arial" w:hAnsi="Arial" w:eastAsia="Arial"/>
                <w:b/>
                <w:i w:val="0"/>
                <w:color w:val="33118C"/>
                <w:sz w:val="36"/>
              </w:rPr>
              <w:t>09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16"/>
                <w:spacing w:val="20"/>
              </w:rPr>
              <w:t>Renewal</w:t>
            </w:r>
          </w:p>
        </w:tc>
        <w:tc>
          <w:tcPr>
            <w:tcW w:type="dxa" w:w="7703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160" w:type="dxa"/>
              <w:start w:w="250" w:type="dxa"/>
              <w:bottom w:w="135" w:type="dxa"/>
              <w:end w:w="100" w:type="dxa"/>
            </w:tcMar>
          </w:tcPr>
          <w:p>
            <w:pPr>
              <w:spacing w:before="0" w:after="80" w:line="271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8"/>
              </w:rPr>
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864" w:bottom="1037" w:left="864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417320" cy="7972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K_info_sheet_ENG_styled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7972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