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0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424"/>
      </w:tblGrid>
      <w:tr>
        <w:tc>
          <w:tcPr>
            <w:tcW w:type="dxa" w:w="2376"/>
            <w:shd w:fill="081832"/>
            <w:tcBorders>
              <w:top w:val="nil"/>
              <w:left w:val="nil"/>
              <w:bottom w:val="nil"/>
              <w:right w:val="nil"/>
            </w:tcBorders>
            <w:tcMar>
              <w:top w:w="260" w:type="dxa"/>
              <w:start w:w="190" w:type="dxa"/>
              <w:bottom w:w="220" w:type="dxa"/>
              <w:end w:w="160" w:type="dxa"/>
            </w:tcMar>
          </w:tcPr>
          <w:p>
            <w:pPr>
              <w:spacing w:after="880"/>
            </w:pPr>
            <w:r>
              <w:drawing>
                <wp:inline xmlns:a="http://schemas.openxmlformats.org/drawingml/2006/main" xmlns:pic="http://schemas.openxmlformats.org/drawingml/2006/picture">
                  <wp:extent cx="1143000" cy="6429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K_info_sheet_ENG_styled_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2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Hong Kong</w:t>
              <w:br/>
              <w:t>Companies</w:t>
            </w:r>
          </w:p>
          <w:p>
            <w:pPr>
              <w:spacing w:before="0" w:after="4200" w:line="288" w:lineRule="auto"/>
            </w:pPr>
            <w:r>
              <w:rPr>
                <w:rFonts w:ascii="Arial" w:hAnsi="Arial" w:eastAsia="Arial"/>
                <w:b w:val="0"/>
                <w:i w:val="0"/>
                <w:color w:val="E5DFFF"/>
                <w:sz w:val="16"/>
                <w:caps w:val="1"/>
                <w:spacing w:val="18"/>
              </w:rPr>
              <w:t>Client Information</w:t>
              <w:br/>
              <w:t>&amp; Advisory Guide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D8CEFF"/>
                <w:sz w:val="16"/>
              </w:rPr>
              <w:t>BizWholistic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CDD3E0"/>
                <w:sz w:val="14"/>
              </w:rPr>
              <w:t>bizwholistic.com</w:t>
            </w:r>
          </w:p>
        </w:tc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40" w:type="dxa"/>
              <w:bottom w:w="0" w:type="dxa"/>
              <w:end w:w="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7"/>
              </w:rPr>
              <w:t>H O N G   K O N G  ·  A D V I S O R Y   G U I D E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56"/>
              </w:rPr>
              <w:t>Hong Kong Companies</w:t>
            </w:r>
          </w:p>
          <w:p>
            <w:pPr>
              <w:spacing w:before="0" w:after="240" w:line="259" w:lineRule="auto"/>
            </w:pPr>
            <w:r>
              <w:rPr>
                <w:rFonts w:ascii="Arial" w:hAnsi="Arial" w:eastAsia="Arial"/>
                <w:b w:val="0"/>
                <w:i/>
                <w:color w:val="657083"/>
                <w:sz w:val="20"/>
              </w:rPr>
              <w:t>Hong Kong · Client Information &amp; Advisory Guide</w:t>
            </w: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01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INCORPORATION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Company Incorporation</w:t>
                  </w:r>
                </w:p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Incorporating a company in Hong Kong typically takes 7-10 working days. To complete the incorporation process, we will need a copy of the passport and proof of address (issued within the last 3 months) for all directors and shareholders.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02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TAXATION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Taxation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Non-Hong Kong sourced income is not subject to Hong Kong taxes.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Hong Kong sourced income is taxed at 8.25% on profits up to HK$2 million, and at 16.5% on profits exceeding HK$2 million.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03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PUBLIC RECORDS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Public Records</w:t>
                  </w:r>
                </w:p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Hong Kong maintains a public register of directors and shareholders, meaning that anyone can access company information for a small fee.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51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04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GOVERNANCE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Shareholders and Directors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Hong Kong companies allow corporate directors, but at least one director must be an individual.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There is no requirement to have a local director.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Shareholders can be either foreign corporations or individuals.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424"/>
      </w:tblGrid>
      <w:tr>
        <w:tc>
          <w:tcPr>
            <w:tcW w:type="dxa" w:w="2376"/>
            <w:shd w:fill="081832"/>
            <w:tcBorders>
              <w:top w:val="nil"/>
              <w:left w:val="nil"/>
              <w:bottom w:val="nil"/>
              <w:right w:val="nil"/>
            </w:tcBorders>
            <w:tcMar>
              <w:top w:w="260" w:type="dxa"/>
              <w:start w:w="190" w:type="dxa"/>
              <w:bottom w:w="220" w:type="dxa"/>
              <w:end w:w="160" w:type="dxa"/>
            </w:tcMar>
          </w:tcPr>
          <w:p>
            <w:pPr>
              <w:spacing w:after="880"/>
            </w:pPr>
            <w:r>
              <w:drawing>
                <wp:inline xmlns:a="http://schemas.openxmlformats.org/drawingml/2006/main" xmlns:pic="http://schemas.openxmlformats.org/drawingml/2006/picture">
                  <wp:extent cx="1143000" cy="6429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K_info_sheet_ENG_styled_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2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Hong Kong</w:t>
              <w:br/>
              <w:t>Companies</w:t>
            </w:r>
          </w:p>
          <w:p>
            <w:pPr>
              <w:spacing w:before="0" w:after="4200" w:line="288" w:lineRule="auto"/>
            </w:pPr>
            <w:r>
              <w:rPr>
                <w:rFonts w:ascii="Arial" w:hAnsi="Arial" w:eastAsia="Arial"/>
                <w:b w:val="0"/>
                <w:i w:val="0"/>
                <w:color w:val="E5DFFF"/>
                <w:sz w:val="16"/>
                <w:caps w:val="1"/>
                <w:spacing w:val="18"/>
              </w:rPr>
              <w:t>Client Information</w:t>
              <w:br/>
              <w:t>&amp; Advisory Guide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D8CEFF"/>
                <w:sz w:val="16"/>
              </w:rPr>
              <w:t>BizWholistic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CDD3E0"/>
                <w:sz w:val="14"/>
              </w:rPr>
              <w:t>bizwholistic.com</w:t>
            </w:r>
          </w:p>
        </w:tc>
        <w:tc>
          <w:tcPr>
            <w:tcW w:type="dxa" w:w="84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240" w:type="dxa"/>
              <w:bottom w:w="0" w:type="dxa"/>
              <w:end w:w="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7"/>
              </w:rPr>
              <w:t>H O N G   K O N G  ·  A D V I S O R Y   G U I D E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56"/>
              </w:rPr>
              <w:t>Hong Kong Companies</w:t>
            </w:r>
          </w:p>
          <w:p>
            <w:pPr>
              <w:spacing w:before="0" w:after="240" w:line="259" w:lineRule="auto"/>
            </w:pPr>
            <w:r>
              <w:rPr>
                <w:rFonts w:ascii="Arial" w:hAnsi="Arial" w:eastAsia="Arial"/>
                <w:b w:val="0"/>
                <w:i/>
                <w:color w:val="657083"/>
                <w:sz w:val="20"/>
              </w:rPr>
              <w:t>Hong Kong · Client Information &amp; Advisory Guide</w:t>
            </w: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05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ACCOUNTS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Accounts and Audit</w:t>
                  </w:r>
                </w:p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"All Hong Kong companies, except for dormant (non-trading) companies, are required to prepare annual financial statements and appoint a Hong Kong-registered CPA."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06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CAPITAL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Share Capital</w:t>
                  </w:r>
                </w:p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A Hong Kong company can be registered with a minimum share capital of just HK$1. This capital can be issued immediately, and you can increase the paid-up capital at any time in the future.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38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07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BANKING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Banking</w:t>
                  </w:r>
                </w:p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We offer assistance in opening a corporate bank account with digital banks (Fintechs) in Hong Kong with Airwallex, Currenxie, Statrys, Wise and Aspire.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51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08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OUR FEES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2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olor w:val="07142E"/>
                      <w:sz w:val="20"/>
                    </w:rPr>
                    <w:t>Fees</w:t>
                  </w:r>
                </w:p>
                <w:p>
                  <w:pPr>
                    <w:spacing w:before="0" w:after="60" w:line="259" w:lineRule="auto"/>
                    <w:ind w:left="202" w:hanging="202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17"/>
                    </w:rPr>
                    <w:t xml:space="preserve">•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Incorporation, Company Secretary, and Registered Office Fees, Business Registration Certificate Fees: USD 1,850 per year along with year-round support for all company-related matters from us.</w:t>
                  </w:r>
                </w:p>
              </w:tc>
            </w:tr>
          </w:tbl>
          <w:p/>
          <w:p>
            <w:pPr>
              <w:spacing w:before="0" w:after="120" w:line="259" w:lineRule="auto"/>
            </w:pPr>
          </w:p>
          <w:tbl>
            <w:tblPr>
              <w:tblW w:type="dxa" w:w="8251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7128"/>
            </w:tblGrid>
            <w:tr>
              <w:trPr>
                <w:trHeight w:val="1512" w:hRule="atLeast"/>
              </w:trPr>
              <w:tc>
                <w:tcPr>
                  <w:tcW w:type="dxa" w:w="1123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shd w:fill="F7F3FF"/>
                  <w:tcMar>
                    <w:top w:w="140" w:type="dxa"/>
                    <w:start w:w="100" w:type="dxa"/>
                    <w:bottom w:w="140" w:type="dxa"/>
                    <w:end w:w="100" w:type="dxa"/>
                  </w:tcMar>
                </w:tcPr>
                <w:p>
                  <w:pPr>
                    <w:spacing w:before="0" w:after="4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4B1FCF"/>
                      <w:sz w:val="28"/>
                    </w:rPr>
                    <w:t>09</w:t>
                  </w:r>
                </w:p>
                <w:p>
                  <w:pPr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657083"/>
                      <w:sz w:val="11"/>
                      <w:spacing w:val="7"/>
                    </w:rPr>
                    <w:t>RENEWAL</w:t>
                  </w:r>
                </w:p>
              </w:tc>
              <w:tc>
                <w:tcPr>
                  <w:tcW w:type="dxa" w:w="7128"/>
                  <w:tcBorders>
                    <w:top w:val="single" w:color="E7EAF0" w:sz="6"/>
                    <w:left w:val="single" w:color="E7EAF0" w:sz="6"/>
                    <w:bottom w:val="single" w:color="E7EAF0" w:sz="6"/>
                    <w:right w:val="single" w:color="E7EAF0" w:sz="6"/>
                  </w:tcBorders>
                  <w:vAlign w:val="top"/>
                  <w:tcMar>
                    <w:top w:w="140" w:type="dxa"/>
                    <w:start w:w="170" w:type="dxa"/>
                    <w:bottom w:w="120" w:type="dxa"/>
                    <w:end w:w="160" w:type="dxa"/>
                  </w:tcMar>
                </w:tcPr>
                <w:p>
                  <w:pPr>
                    <w:spacing w:before="0" w:after="60" w:line="259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B2F36"/>
                      <w:sz w:val="17"/>
                    </w:rPr>
      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2240" w:h="15840"/>
      <w:pgMar w:top="792" w:right="720" w:bottom="864" w:left="720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