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EBFF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start w:w="420" w:type="dxa"/>
              <w:bottom w:w="300" w:type="dxa"/>
              <w:end w:w="420" w:type="dxa"/>
            </w:tcMar>
          </w:tcPr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color w:val="4B1FCF"/>
                <w:sz w:val="50"/>
              </w:rPr>
              <w:t>Hong Kong Companies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33118C"/>
                <w:sz w:val="21"/>
              </w:rPr>
              <w:t>Hong Kong · Client Information &amp; Advisory Guide</w:t>
            </w:r>
          </w:p>
        </w:tc>
      </w:tr>
    </w:tbl>
    <w:p>
      <w:pPr>
        <w:spacing w:before="0" w:after="2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512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01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Incorporation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Company Incorporation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02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Taxation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Taxation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Non-Hong Kong sourced income is not subject to Hong Kong taxes.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03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Public Records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Public Records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512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04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Governance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Shareholders and Directors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companies allow corporate directors, but at least one director must be an individual.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There is no requirement to have a local director.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Shareholders can be either foreign corporations or individuals.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05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Accounts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Accounts and Audit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Client Information &amp; Advisory Guide · continued</w:t>
      </w: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06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Capital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Share Capital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07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Banking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Banking</w:t>
            </w:r>
          </w:p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080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08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Our Fees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1"/>
              </w:rPr>
              <w:t>Fees</w:t>
            </w:r>
          </w:p>
          <w:p>
            <w:pPr>
              <w:spacing w:before="0" w:after="60" w:line="264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100" w:line="259" w:lineRule="auto"/>
      </w:pPr>
    </w:p>
    <w:tbl>
      <w:tblPr>
        <w:tblW w:type="dxa" w:w="10152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8496"/>
      </w:tblGrid>
      <w:tr>
        <w:trPr>
          <w:trHeight w:val="1512" w:hRule="atLeast"/>
        </w:trPr>
        <w:tc>
          <w:tcPr>
            <w:tcW w:type="dxa" w:w="1655"/>
            <w:tcBorders>
              <w:top w:val="nil"/>
              <w:left w:val="nil"/>
              <w:bottom w:val="nil"/>
              <w:right w:val="nil"/>
            </w:tcBorders>
            <w:vAlign w:val="top"/>
            <w:tcMar>
              <w:top w:w="80" w:type="dxa"/>
              <w:start w:w="0" w:type="dxa"/>
              <w:bottom w:w="80" w:type="dxa"/>
              <w:end w:w="120" w:type="dxa"/>
            </w:tcMar>
          </w:tcPr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33118C"/>
                <w:sz w:val="26"/>
              </w:rPr>
              <w:t>09</w:t>
            </w:r>
          </w:p>
          <w:p>
            <w:pPr>
              <w:spacing w:before="0" w:after="20" w:line="259" w:lineRule="auto"/>
              <w:jc w:val="right"/>
            </w:pPr>
            <w:r>
              <w:rPr>
                <w:rFonts w:ascii="Arial" w:hAnsi="Arial" w:eastAsia="Arial"/>
                <w:b w:val="0"/>
                <w:i w:val="0"/>
                <w:color w:val="657083"/>
                <w:sz w:val="12"/>
              </w:rPr>
              <w:t>Renewal</w:t>
            </w:r>
          </w:p>
        </w:tc>
        <w:tc>
          <w:tcPr>
            <w:tcW w:type="dxa" w:w="8496"/>
            <w:tcBorders>
              <w:top w:val="nil"/>
              <w:left w:val="single" w:color="4B1FCF" w:sz="12"/>
              <w:bottom w:val="single" w:color="E7EAF0" w:sz="4"/>
              <w:right w:val="nil"/>
            </w:tcBorders>
            <w:vAlign w:val="top"/>
            <w:tcMar>
              <w:top w:w="80" w:type="dxa"/>
              <w:start w:w="190" w:type="dxa"/>
              <w:bottom w:w="80" w:type="dxa"/>
              <w:end w:w="0" w:type="dxa"/>
            </w:tcMar>
          </w:tcPr>
          <w:p>
            <w:pPr>
              <w:spacing w:before="0" w:after="60" w:line="264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936" w:left="1080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