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</w:pPr>
      <w:r>
        <w:rPr>
          <w:rFonts w:ascii="Arial" w:hAnsi="Arial" w:eastAsia="Arial"/>
          <w:b/>
          <w:i w:val="0"/>
          <w:color w:val="4B1FCF"/>
          <w:sz w:val="16"/>
          <w:spacing w:val="27"/>
        </w:rPr>
        <w:t>H O N G   K O N G  ·  A D V I S O R Y   G U I D E</w:t>
      </w:r>
    </w:p>
    <w:p>
      <w:pPr>
        <w:spacing w:before="0" w:after="80" w:line="240" w:lineRule="auto"/>
      </w:pPr>
      <w:r>
        <w:rPr>
          <w:rFonts w:ascii="Arial" w:hAnsi="Arial" w:eastAsia="Arial"/>
          <w:b/>
          <w:i w:val="0"/>
          <w:color w:val="07142E"/>
          <w:sz w:val="56"/>
        </w:rPr>
        <w:t>Hong Kong Companies</w:t>
      </w:r>
    </w:p>
    <w:p>
      <w:pPr>
        <w:spacing w:before="0" w:after="240" w:line="259" w:lineRule="auto"/>
      </w:pPr>
      <w:r>
        <w:rPr>
          <w:rFonts w:ascii="Arial" w:hAnsi="Arial" w:eastAsia="Arial"/>
          <w:b w:val="0"/>
          <w:i/>
          <w:color w:val="657083"/>
          <w:sz w:val="20"/>
        </w:rPr>
        <w:t>Hong Kong · Client Information &amp; Advisory Guide</w:t>
      </w:r>
    </w:p>
    <w:p>
      <w:pPr>
        <w:spacing w:before="0" w:after="160" w:line="259" w:lineRule="auto"/>
      </w:pPr>
      <w:r>
        <w:rPr>
          <w:rFonts w:ascii="Arial" w:hAnsi="Arial" w:eastAsia="Arial"/>
          <w:b/>
          <w:i w:val="0"/>
          <w:color w:val="4B1FCF"/>
          <w:sz w:val="17"/>
          <w:spacing w:val="15"/>
        </w:rPr>
        <w:t>Structured reference table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088"/>
        <w:gridCol w:w="7343"/>
      </w:tblGrid>
      <w:tr>
        <w:tc>
          <w:tcPr>
            <w:tcW w:type="dxa" w:w="792"/>
            <w:shd w:fill="08183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color="081832" w:sz="8"/>
              <w:left w:val="single" w:color="081832" w:sz="8"/>
              <w:bottom w:val="single" w:color="081832" w:sz="8"/>
              <w:right w:val="single" w:color="081832" w:sz="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  <w:spacing w:val="15"/>
              </w:rPr>
              <w:t>NO.</w:t>
            </w:r>
          </w:p>
        </w:tc>
        <w:tc>
          <w:tcPr>
            <w:tcW w:type="dxa" w:w="2088"/>
            <w:shd w:fill="08183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color="081832" w:sz="8"/>
              <w:left w:val="single" w:color="081832" w:sz="8"/>
              <w:bottom w:val="single" w:color="081832" w:sz="8"/>
              <w:right w:val="single" w:color="081832" w:sz="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  <w:spacing w:val="15"/>
              </w:rPr>
              <w:t>TOPIC</w:t>
            </w:r>
          </w:p>
        </w:tc>
        <w:tc>
          <w:tcPr>
            <w:tcW w:type="dxa" w:w="7343"/>
            <w:shd w:fill="08183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color="081832" w:sz="8"/>
              <w:left w:val="single" w:color="081832" w:sz="8"/>
              <w:bottom w:val="single" w:color="081832" w:sz="8"/>
              <w:right w:val="single" w:color="081832" w:sz="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  <w:spacing w:val="15"/>
              </w:rPr>
              <w:t>GUIDANCE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4B1FCF"/>
                <w:sz w:val="22"/>
              </w:rPr>
              <w:t>01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7"/>
              </w:rPr>
              <w:t>Incorporation</w:t>
            </w:r>
          </w:p>
        </w:tc>
        <w:tc>
          <w:tcPr>
            <w:tcW w:type="dxa" w:w="7343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8"/>
              </w:rPr>
              <w:t>Company Incorporation</w:t>
            </w:r>
          </w:p>
          <w:p>
            <w:pPr>
              <w:spacing w:before="0" w:after="20" w:line="250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Incorporating a company in Hong Kong typically takes 7-10 working days. To complete the incorporation process, we will need a copy of the passport and proof of address (issued within the last 3 months) for all directors and shareholders.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7F3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4B1FCF"/>
                <w:sz w:val="22"/>
              </w:rPr>
              <w:t>02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7F3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7"/>
              </w:rPr>
              <w:t>Taxation</w:t>
            </w:r>
          </w:p>
        </w:tc>
        <w:tc>
          <w:tcPr>
            <w:tcW w:type="dxa" w:w="7343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7F3FF"/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8"/>
              </w:rPr>
              <w:t>Taxation</w:t>
            </w:r>
          </w:p>
          <w:p>
            <w:pPr>
              <w:spacing w:before="0" w:after="20" w:line="250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Non-Hong Kong sourced income is not subject to Hong Kong taxes.</w:t>
            </w:r>
          </w:p>
          <w:p>
            <w:pPr>
              <w:spacing w:before="0" w:after="20" w:line="250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Hong Kong sourced income is taxed at 8.25% on profits up to HK$2 million, and at 16.5% on profits exceeding HK$2 million.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4B1FCF"/>
                <w:sz w:val="22"/>
              </w:rPr>
              <w:t>03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7"/>
              </w:rPr>
              <w:t>Public Records</w:t>
            </w:r>
          </w:p>
        </w:tc>
        <w:tc>
          <w:tcPr>
            <w:tcW w:type="dxa" w:w="7343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8"/>
              </w:rPr>
              <w:t>Public Records</w:t>
            </w:r>
          </w:p>
          <w:p>
            <w:pPr>
              <w:spacing w:before="0" w:after="20" w:line="250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Hong Kong maintains a public register of directors and shareholders, meaning that anyone can access company information for a small fee.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7F3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4B1FCF"/>
                <w:sz w:val="22"/>
              </w:rPr>
              <w:t>04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7F3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7"/>
              </w:rPr>
              <w:t>Governance</w:t>
            </w:r>
          </w:p>
        </w:tc>
        <w:tc>
          <w:tcPr>
            <w:tcW w:type="dxa" w:w="7343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7F3FF"/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8"/>
              </w:rPr>
              <w:t>Shareholders and Directors</w:t>
            </w:r>
          </w:p>
          <w:p>
            <w:pPr>
              <w:spacing w:before="0" w:after="20" w:line="250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Hong Kong companies allow corporate directors, but at least one director must be an individual.</w:t>
            </w:r>
          </w:p>
          <w:p>
            <w:pPr>
              <w:spacing w:before="0" w:after="20" w:line="250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There is no requirement to have a local director.</w:t>
            </w:r>
          </w:p>
          <w:p>
            <w:pPr>
              <w:spacing w:before="0" w:after="20" w:line="250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Shareholders can be either foreign corporations or individuals.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4B1FCF"/>
                <w:sz w:val="22"/>
              </w:rPr>
              <w:t>05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7"/>
              </w:rPr>
              <w:t>Accounts</w:t>
            </w:r>
          </w:p>
        </w:tc>
        <w:tc>
          <w:tcPr>
            <w:tcW w:type="dxa" w:w="7343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8"/>
              </w:rPr>
              <w:t>Accounts and Audit</w:t>
            </w:r>
          </w:p>
          <w:p>
            <w:pPr>
              <w:spacing w:before="0" w:after="20" w:line="250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"All Hong Kong companies, except for dormant (non-trading) companies, are required to prepare annual financial statements and appoint a Hong Kong-registered CPA."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/>
      </w:pPr>
      <w:r>
        <w:br w:type="page"/>
      </w:r>
    </w:p>
    <w:p>
      <w:pPr>
        <w:spacing w:before="0" w:after="40" w:line="259" w:lineRule="auto"/>
      </w:pPr>
      <w:r>
        <w:rPr>
          <w:rFonts w:ascii="Arial" w:hAnsi="Arial" w:eastAsia="Arial"/>
          <w:b/>
          <w:i w:val="0"/>
          <w:color w:val="07142E"/>
          <w:sz w:val="40"/>
        </w:rPr>
        <w:t>Hong Kong Companies</w:t>
      </w:r>
    </w:p>
    <w:p>
      <w:pPr>
        <w:spacing w:before="0" w:after="200" w:line="259" w:lineRule="auto"/>
      </w:pPr>
      <w:r>
        <w:rPr>
          <w:rFonts w:ascii="Arial" w:hAnsi="Arial" w:eastAsia="Arial"/>
          <w:b w:val="0"/>
          <w:i/>
          <w:color w:val="657083"/>
          <w:sz w:val="19"/>
        </w:rPr>
        <w:t>Structured reference table · continued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088"/>
        <w:gridCol w:w="7343"/>
      </w:tblGrid>
      <w:tr>
        <w:tc>
          <w:tcPr>
            <w:tcW w:type="dxa" w:w="792"/>
            <w:shd w:fill="08183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color="081832" w:sz="8"/>
              <w:left w:val="single" w:color="081832" w:sz="8"/>
              <w:bottom w:val="single" w:color="081832" w:sz="8"/>
              <w:right w:val="single" w:color="081832" w:sz="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  <w:spacing w:val="15"/>
              </w:rPr>
              <w:t>NO.</w:t>
            </w:r>
          </w:p>
        </w:tc>
        <w:tc>
          <w:tcPr>
            <w:tcW w:type="dxa" w:w="2088"/>
            <w:shd w:fill="08183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color="081832" w:sz="8"/>
              <w:left w:val="single" w:color="081832" w:sz="8"/>
              <w:bottom w:val="single" w:color="081832" w:sz="8"/>
              <w:right w:val="single" w:color="081832" w:sz="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  <w:spacing w:val="15"/>
              </w:rPr>
              <w:t>TOPIC</w:t>
            </w:r>
          </w:p>
        </w:tc>
        <w:tc>
          <w:tcPr>
            <w:tcW w:type="dxa" w:w="7343"/>
            <w:shd w:fill="08183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color="081832" w:sz="8"/>
              <w:left w:val="single" w:color="081832" w:sz="8"/>
              <w:bottom w:val="single" w:color="081832" w:sz="8"/>
              <w:right w:val="single" w:color="081832" w:sz="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  <w:spacing w:val="15"/>
              </w:rPr>
              <w:t>GUIDANCE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4B1FCF"/>
                <w:sz w:val="22"/>
              </w:rPr>
              <w:t>06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7"/>
              </w:rPr>
              <w:t>Capital</w:t>
            </w:r>
          </w:p>
        </w:tc>
        <w:tc>
          <w:tcPr>
            <w:tcW w:type="dxa" w:w="7343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8"/>
              </w:rPr>
              <w:t>Share Capital</w:t>
            </w:r>
          </w:p>
          <w:p>
            <w:pPr>
              <w:spacing w:before="0" w:after="20" w:line="250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A Hong Kong company can be registered with a minimum share capital of just HK$1. This capital can be issued immediately, and you can increase the paid-up capital at any time in the future.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7F3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4B1FCF"/>
                <w:sz w:val="22"/>
              </w:rPr>
              <w:t>07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7F3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7"/>
              </w:rPr>
              <w:t>Banking</w:t>
            </w:r>
          </w:p>
        </w:tc>
        <w:tc>
          <w:tcPr>
            <w:tcW w:type="dxa" w:w="7343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7F3FF"/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8"/>
              </w:rPr>
              <w:t>Banking</w:t>
            </w:r>
          </w:p>
          <w:p>
            <w:pPr>
              <w:spacing w:before="0" w:after="20" w:line="250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We offer assistance in opening a corporate bank account with digital banks (Fintechs) in Hong Kong with Airwallex, Currenxie, Statrys, Wise and Aspire.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4B1FCF"/>
                <w:sz w:val="22"/>
              </w:rPr>
              <w:t>08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7"/>
              </w:rPr>
              <w:t>Our Fees</w:t>
            </w:r>
          </w:p>
        </w:tc>
        <w:tc>
          <w:tcPr>
            <w:tcW w:type="dxa" w:w="7343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FFFFF"/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8"/>
              </w:rPr>
              <w:t>Fees</w:t>
            </w:r>
          </w:p>
          <w:p>
            <w:pPr>
              <w:spacing w:before="0" w:after="20" w:line="250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Incorporation, Company Secretary, and Registered Office Fees, Business Registration Certificate Fees: USD 1,850 per year along with year-round support for all company-related matters from us.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7F3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4B1FCF"/>
                <w:sz w:val="22"/>
              </w:rPr>
              <w:t>09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7F3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17"/>
              </w:rPr>
              <w:t>Renewal</w:t>
            </w:r>
          </w:p>
        </w:tc>
        <w:tc>
          <w:tcPr>
            <w:tcW w:type="dxa" w:w="7343"/>
            <w:vAlign w:val="top"/>
            <w:tcMar>
              <w:top w:w="90" w:type="dxa"/>
              <w:start w:w="100" w:type="dxa"/>
              <w:bottom w:w="80" w:type="dxa"/>
              <w:end w:w="100" w:type="dxa"/>
            </w:tcMar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shd w:fill="F7F3FF"/>
          </w:tcPr>
          <w:p>
            <w:pPr>
              <w:spacing w:before="0" w:after="20" w:line="250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Renewal (from the 2nd year onwards): Company Secretary, Registered Office Fees, Business Registration Certificate, and Annual Return Fees: USD 1,650 per year along with year-round support for all company-related matters from us.  The renewal fee does not include any accounting, audit or simplified accounting which will be due at the time of renewal.</w:t>
            </w:r>
          </w:p>
        </w:tc>
      </w:tr>
    </w:tbl>
    <w:p>
      <w:pPr>
        <w:spacing w:before="0" w:after="8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893" w:left="792" w:header="259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  <w:pBdr>
        <w:top w:val="single" w:sz="8" w:space="3" w:color="4B1FCF"/>
      </w:pBdr>
    </w:pPr>
    <w:r>
      <w:rPr>
        <w:rFonts w:ascii="Arial" w:hAnsi="Arial" w:eastAsia="Arial"/>
        <w:b w:val="0"/>
        <w:i/>
        <w:color w:val="657083"/>
        <w:sz w:val="14"/>
      </w:rPr>
      <w:t>Hong Kong Companies — Client Information</w:t>
    </w:r>
  </w:p>
  <w:p>
    <w:pPr>
      <w:spacing w:after="0"/>
      <w:jc w:val="right"/>
    </w:pPr>
    <w:r>
      <w:rPr>
        <w:rFonts w:ascii="Arial" w:hAnsi="Arial" w:eastAsia="Arial"/>
        <w:b w:val="0"/>
        <w:i w:val="0"/>
        <w:color w:val="657083"/>
        <w:sz w:val="14"/>
      </w:rPr>
      <w:t>bizwholistic.com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417320" cy="7972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K_info_sheet_ENG_styled_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79724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B2F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