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80"/>
        <w:jc w:val="center"/>
        <w:tblLayout w:type="fixed"/>
        <w:tblLook w:firstColumn="1" w:firstRow="1" w:lastColumn="0" w:lastRow="0" w:noHBand="0" w:noVBand="1" w:val="04A0"/>
      </w:tblPr>
      <w:tblGrid>
        <w:gridCol w:w="7343"/>
        <w:gridCol w:w="2736"/>
      </w:tblGrid>
      <w:tr>
        <w:tc>
          <w:tcPr>
            <w:tcW w:type="dxa" w:w="7343"/>
            <w:shd w:fill="081832"/>
            <w:tcBorders>
              <w:top w:val="nil"/>
              <w:left w:val="nil"/>
              <w:bottom w:val="nil"/>
              <w:right w:val="nil"/>
            </w:tcBorders>
            <w:tcMar>
              <w:top w:w="230" w:type="dxa"/>
              <w:start w:w="250" w:type="dxa"/>
              <w:bottom w:w="230" w:type="dxa"/>
              <w:end w:w="250" w:type="dxa"/>
            </w:tcMar>
          </w:tcPr>
          <w:p>
            <w:pPr>
              <w:spacing w:before="0" w:after="100" w:line="240" w:lineRule="auto"/>
            </w:pPr>
            <w:r>
              <w:rPr>
                <w:rFonts w:ascii="Arial" w:hAnsi="Arial" w:eastAsia="Arial"/>
                <w:b/>
                <w:i w:val="0"/>
                <w:color w:val="FFFFFF"/>
                <w:sz w:val="48"/>
              </w:rPr>
              <w:t>Hong Kong Companies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i/>
                <w:color w:val="D7CCFF"/>
                <w:sz w:val="19"/>
              </w:rPr>
              <w:t>Hong Kong · Client Information &amp; Advisory Guide</w:t>
            </w:r>
          </w:p>
        </w:tc>
        <w:tc>
          <w:tcPr>
            <w:tcW w:type="dxa" w:w="2736"/>
            <w:shd w:fill="F1EBFF"/>
            <w:tcBorders>
              <w:top w:val="nil"/>
              <w:left w:val="nil"/>
              <w:bottom w:val="nil"/>
              <w:right w:val="nil"/>
            </w:tcBorders>
            <w:tcMar>
              <w:top w:w="230" w:type="dxa"/>
              <w:start w:w="250" w:type="dxa"/>
              <w:bottom w:w="230" w:type="dxa"/>
              <w:end w:w="25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  <w:caps w:val="1"/>
                <w:spacing w:val="30"/>
              </w:rPr>
              <w:t>CLIENT</w:t>
              <w:br/>
              <w:t>INFORMATION</w:t>
              <w:br/>
              <w:t>GUIDE</w:t>
            </w:r>
          </w:p>
        </w:tc>
      </w:tr>
    </w:tbl>
    <w:p>
      <w:pPr>
        <w:spacing w:before="0" w:after="200" w:line="259" w:lineRule="auto"/>
      </w:pPr>
    </w:p>
    <w:tbl>
      <w:tblPr>
        <w:tblW w:type="dxa" w:w="972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3240"/>
        <w:gridCol w:w="3240"/>
      </w:tblGrid>
      <w:tr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01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Incorporation</w:t>
            </w:r>
          </w:p>
        </w:tc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02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Taxation</w:t>
            </w:r>
          </w:p>
        </w:tc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03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Public Records</w:t>
            </w:r>
          </w:p>
        </w:tc>
      </w:tr>
      <w:tr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04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Governance</w:t>
            </w:r>
          </w:p>
        </w:tc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05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Accounts</w:t>
            </w:r>
          </w:p>
        </w:tc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06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Capital</w:t>
            </w:r>
          </w:p>
        </w:tc>
      </w:tr>
      <w:tr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07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Banking</w:t>
            </w:r>
          </w:p>
        </w:tc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08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Our Fees</w:t>
            </w:r>
          </w:p>
        </w:tc>
        <w:tc>
          <w:tcPr>
            <w:tcW w:type="dxa" w:w="3240"/>
            <w:shd w:fill="F7F3FF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color="E1D8FB" w:sz="6"/>
              <w:left w:val="single" w:color="E1D8FB" w:sz="6"/>
              <w:bottom w:val="single" w:color="E1D8FB" w:sz="6"/>
              <w:right w:val="single" w:color="E1D8FB" w:sz="6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i w:val="0"/>
                <w:color w:val="4B1FCF"/>
                <w:sz w:val="18"/>
              </w:rPr>
              <w:t xml:space="preserve">09 </w:t>
            </w:r>
            <w:r>
              <w:rPr>
                <w:rFonts w:ascii="Arial" w:hAnsi="Arial" w:eastAsia="Arial"/>
                <w:b/>
                <w:i w:val="0"/>
                <w:color w:val="07142E"/>
                <w:sz w:val="16"/>
              </w:rPr>
              <w:t>Renewal</w:t>
            </w:r>
          </w:p>
        </w:tc>
      </w:tr>
    </w:tbl>
    <w:p>
      <w:pPr>
        <w:spacing w:before="0" w:after="20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01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INCORPORATION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Company Incorporation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Incorporating a company in Hong Kong typically takes 7-10 working days. To complete the incorporation process, we will need a copy of the passport and proof of address (issued within the last 3 months) for all directors and shareholders.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02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TAXATION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Taxation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Non-Hong Kong sourced income is not subject to Hong Kong taxes.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sourced income is taxed at 8.25% on profits up to HK$2 million, and at 16.5% on profits exceeding HK$2 million.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03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PUBLIC RECORDS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Public Records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maintains a public register of directors and shareholders, meaning that anyone can access company information for a small fee.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04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GOVERNANCE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Shareholders and Directors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Hong Kong companies allow corporate directors, but at least one director must be an individual.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There is no requirement to have a local director.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Shareholders can be either foreign corporations or individuals.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40" w:line="259" w:lineRule="auto"/>
      </w:pPr>
      <w:r>
        <w:rPr>
          <w:rFonts w:ascii="Arial" w:hAnsi="Arial" w:eastAsia="Arial"/>
          <w:b/>
          <w:i w:val="0"/>
          <w:color w:val="07142E"/>
          <w:sz w:val="40"/>
        </w:rPr>
        <w:t>Hong Kong Companies</w:t>
      </w:r>
    </w:p>
    <w:p>
      <w:pPr>
        <w:spacing w:before="0" w:after="200" w:line="259" w:lineRule="auto"/>
      </w:pPr>
      <w:r>
        <w:rPr>
          <w:rFonts w:ascii="Arial" w:hAnsi="Arial" w:eastAsia="Arial"/>
          <w:b w:val="0"/>
          <w:i/>
          <w:color w:val="657083"/>
          <w:sz w:val="19"/>
        </w:rPr>
        <w:t>Detail notes · continued</w:t>
      </w: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05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ACCOUNTS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Accounts and Audit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"All Hong Kong companies, except for dormant (non-trading) companies, are required to prepare annual financial statements and appoint a Hong Kong-registered CPA."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06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CAPITAL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Share Capital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A Hong Kong company can be registered with a minimum share capital of just HK$1. This capital can be issued immediately, and you can increase the paid-up capital at any time in the future.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07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BANKING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Banking</w:t>
            </w:r>
          </w:p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We offer assistance in opening a corporate bank account with digital banks (Fintechs) in Hong Kong with Airwallex, Currenxie, Statrys, Wise and Aspire.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08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OUR FEES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2" w:lineRule="auto"/>
            </w:pPr>
            <w:r>
              <w:rPr>
                <w:rFonts w:ascii="Arial" w:hAnsi="Arial" w:eastAsia="Arial"/>
                <w:b/>
                <w:i w:val="0"/>
                <w:color w:val="07142E"/>
                <w:sz w:val="20"/>
              </w:rPr>
              <w:t>Fees</w:t>
            </w:r>
          </w:p>
          <w:p>
            <w:pPr>
              <w:spacing w:before="0" w:after="60" w:line="259" w:lineRule="auto"/>
              <w:ind w:left="202" w:hanging="202"/>
            </w:pPr>
            <w:r>
              <w:rPr>
                <w:rFonts w:ascii="Arial" w:hAnsi="Arial" w:eastAsia="Arial"/>
                <w:b/>
                <w:i w:val="0"/>
                <w:color w:val="4B1FCF"/>
                <w:sz w:val="17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Incorporation, Company Secretary, and Registered Office Fees, Business Registration Certificate Fees: USD 1,850 per year along with year-round support for all company-related matters from us.</w:t>
            </w:r>
          </w:p>
        </w:tc>
      </w:tr>
    </w:tbl>
    <w:p>
      <w:pPr>
        <w:spacing w:before="0" w:after="80" w:line="259" w:lineRule="auto"/>
      </w:pPr>
    </w:p>
    <w:tbl>
      <w:tblPr>
        <w:tblW w:type="dxa" w:w="9864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52"/>
      </w:tblGrid>
      <w:tr>
        <w:tc>
          <w:tcPr>
            <w:tcW w:type="dxa" w:w="151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  <w:shd w:fill="081832"/>
          </w:tcPr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36"/>
              </w:rPr>
              <w:t>09</w:t>
            </w:r>
          </w:p>
          <w:p>
            <w:pPr>
              <w:spacing w:before="0" w:after="0" w:line="259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DAD2FF"/>
                <w:sz w:val="10"/>
                <w:spacing w:val="10"/>
              </w:rPr>
              <w:t>RENEWAL</w:t>
            </w:r>
          </w:p>
        </w:tc>
        <w:tc>
          <w:tcPr>
            <w:tcW w:type="dxa" w:w="8352"/>
            <w:tcBorders>
              <w:top w:val="nil"/>
              <w:left w:val="nil"/>
              <w:bottom w:val="single" w:color="E7EAF0" w:sz="6"/>
              <w:right w:val="nil"/>
            </w:tcBorders>
            <w:tcMar>
              <w:top w:w="100" w:type="dxa"/>
              <w:start w:w="120" w:type="dxa"/>
              <w:bottom w:w="85" w:type="dxa"/>
              <w:end w:w="120" w:type="dxa"/>
            </w:tcMar>
            <w:vAlign w:val="top"/>
          </w:tcPr>
          <w:p>
            <w:pPr>
              <w:spacing w:before="0" w:after="60" w:line="259" w:lineRule="auto"/>
            </w:pPr>
            <w:r>
              <w:rPr>
                <w:rFonts w:ascii="Arial" w:hAnsi="Arial" w:eastAsia="Arial"/>
                <w:b w:val="0"/>
                <w:i w:val="0"/>
                <w:color w:val="2B2F36"/>
                <w:sz w:val="17"/>
              </w:rPr>
      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936" w:left="864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