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80" w:line="259" w:lineRule="auto"/>
      </w:pPr>
      <w:r>
        <w:rPr>
          <w:rFonts w:ascii="Arial" w:hAnsi="Arial" w:eastAsia="Arial"/>
          <w:b/>
          <w:i w:val="0"/>
          <w:color w:val="4B1FCF"/>
          <w:sz w:val="16"/>
          <w:spacing w:val="27"/>
        </w:rPr>
        <w:t>CLIENT INFORMATION &amp; ADVISORY GUIDE</w:t>
      </w:r>
    </w:p>
    <w:p>
      <w:pPr>
        <w:spacing w:before="0" w:after="40" w:line="228" w:lineRule="auto"/>
      </w:pPr>
      <w:r>
        <w:rPr>
          <w:rFonts w:ascii="Arial" w:hAnsi="Arial" w:eastAsia="Arial"/>
          <w:b/>
          <w:i w:val="0"/>
          <w:color w:val="07142E"/>
          <w:sz w:val="64"/>
        </w:rPr>
        <w:t>Hong Kong Companies</w:t>
      </w:r>
    </w:p>
    <w:p>
      <w:pPr>
        <w:spacing w:before="0" w:after="200" w:line="259" w:lineRule="auto"/>
      </w:pPr>
      <w:r>
        <w:rPr>
          <w:rFonts w:ascii="Arial" w:hAnsi="Arial" w:eastAsia="Arial"/>
          <w:b w:val="0"/>
          <w:i/>
          <w:color w:val="4B1FCF"/>
          <w:sz w:val="22"/>
        </w:rPr>
        <w:t>Hong Kong · Client Information &amp; Advisory Guide</w:t>
      </w:r>
    </w:p>
    <w:p>
      <w:pPr>
        <w:spacing w:after="320"/>
        <w:pBdr>
          <w:bottom w:val="single" w:sz="12" w:space="1" w:color="4B1FCF"/>
        </w:pBdr>
      </w:pPr>
    </w:p>
    <w:tbl>
      <w:tblPr>
        <w:tblW w:type="dxa" w:w="10180"/>
        <w:jc w:val="center"/>
        <w:tblLayout w:type="fixed"/>
        <w:tblLook w:firstColumn="1" w:firstRow="1" w:lastColumn="0" w:lastRow="0" w:noHBand="0" w:noVBand="1" w:val="04A0"/>
      </w:tblPr>
      <w:tblGrid>
        <w:gridCol w:w="892"/>
        <w:gridCol w:w="1944"/>
        <w:gridCol w:w="7343"/>
      </w:tblGrid>
      <w:tr>
        <w:trPr>
          <w:trHeight w:val="1584" w:hRule="atLeast"/>
        </w:trPr>
        <w:tc>
          <w:tcPr>
            <w:tcW w:type="dxa" w:w="892"/>
            <w:vAlign w:val="top"/>
            <w:tcBorders>
              <w:top w:val="single" w:color="E7EAF0" w:sz="5"/>
              <w:left w:val="single" w:color="E7EAF0" w:sz="5"/>
              <w:bottom w:val="single" w:color="E7EAF0" w:sz="5"/>
              <w:right w:val="single" w:color="E7EAF0" w:sz="5"/>
            </w:tcBorders>
            <w:tcMar>
              <w:top w:w="130" w:type="dxa"/>
              <w:start w:w="100" w:type="dxa"/>
              <w:bottom w:w="110" w:type="dxa"/>
              <w:end w:w="100" w:type="dxa"/>
            </w:tcMar>
            <w:shd w:fill="4B1FCF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4"/>
              </w:rPr>
              <w:t>01</w:t>
            </w:r>
          </w:p>
        </w:tc>
        <w:tc>
          <w:tcPr>
            <w:tcW w:type="dxa" w:w="1944"/>
            <w:vAlign w:val="top"/>
            <w:tcBorders>
              <w:top w:val="single" w:color="E7EAF0" w:sz="5"/>
              <w:left w:val="single" w:color="E7EAF0" w:sz="5"/>
              <w:bottom w:val="single" w:color="E7EAF0" w:sz="5"/>
              <w:right w:val="single" w:color="E7EAF0" w:sz="5"/>
            </w:tcBorders>
            <w:tcMar>
              <w:top w:w="130" w:type="dxa"/>
              <w:start w:w="100" w:type="dxa"/>
              <w:bottom w:w="110" w:type="dxa"/>
              <w:end w:w="100" w:type="dxa"/>
            </w:tcMar>
            <w:shd w:fill="F1EBFF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33118C"/>
                <w:sz w:val="17"/>
                <w:spacing w:val="11"/>
              </w:rPr>
              <w:t>Incorporation</w:t>
            </w:r>
          </w:p>
        </w:tc>
        <w:tc>
          <w:tcPr>
            <w:tcW w:type="dxa" w:w="7343"/>
            <w:vAlign w:val="top"/>
            <w:tcBorders>
              <w:top w:val="single" w:color="E7EAF0" w:sz="5"/>
              <w:left w:val="single" w:color="E7EAF0" w:sz="5"/>
              <w:bottom w:val="single" w:color="E7EAF0" w:sz="5"/>
              <w:right w:val="single" w:color="E7EAF0" w:sz="5"/>
            </w:tcBorders>
            <w:tcMar>
              <w:top w:w="130" w:type="dxa"/>
              <w:start w:w="100" w:type="dxa"/>
              <w:bottom w:w="110" w:type="dxa"/>
              <w:end w:w="100" w:type="dxa"/>
            </w:tcMar>
            <w:shd w:fill="FFFFFF"/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b/>
                <w:i w:val="0"/>
                <w:color w:val="07142E"/>
                <w:sz w:val="20"/>
              </w:rPr>
              <w:t>Company Incorporation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Arial"/>
                <w:b w:val="0"/>
                <w:i w:val="0"/>
                <w:color w:val="2B2F36"/>
                <w:sz w:val="17"/>
              </w:rPr>
              <w:t>Incorporating a company in Hong Kong typically takes 7-10 working days. To complete the incorporation process, we will need a copy of the passport and proof of address (issued within the last 3 months) for all directors and shareholders.</w:t>
            </w:r>
          </w:p>
        </w:tc>
      </w:tr>
    </w:tbl>
    <w:p>
      <w:pPr>
        <w:spacing w:before="0" w:after="100" w:line="259" w:lineRule="auto"/>
      </w:pPr>
    </w:p>
    <w:tbl>
      <w:tblPr>
        <w:tblW w:type="dxa" w:w="10180"/>
        <w:jc w:val="center"/>
        <w:tblLayout w:type="fixed"/>
        <w:tblLook w:firstColumn="1" w:firstRow="1" w:lastColumn="0" w:lastRow="0" w:noHBand="0" w:noVBand="1" w:val="04A0"/>
      </w:tblPr>
      <w:tblGrid>
        <w:gridCol w:w="892"/>
        <w:gridCol w:w="1944"/>
        <w:gridCol w:w="7343"/>
      </w:tblGrid>
      <w:tr>
        <w:trPr>
          <w:trHeight w:val="1224" w:hRule="atLeast"/>
        </w:trPr>
        <w:tc>
          <w:tcPr>
            <w:tcW w:type="dxa" w:w="892"/>
            <w:vAlign w:val="top"/>
            <w:tcBorders>
              <w:top w:val="single" w:color="E7EAF0" w:sz="5"/>
              <w:left w:val="single" w:color="E7EAF0" w:sz="5"/>
              <w:bottom w:val="single" w:color="E7EAF0" w:sz="5"/>
              <w:right w:val="single" w:color="E7EAF0" w:sz="5"/>
            </w:tcBorders>
            <w:tcMar>
              <w:top w:w="130" w:type="dxa"/>
              <w:start w:w="100" w:type="dxa"/>
              <w:bottom w:w="110" w:type="dxa"/>
              <w:end w:w="100" w:type="dxa"/>
            </w:tcMar>
            <w:shd w:fill="4B1FCF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4"/>
              </w:rPr>
              <w:t>02</w:t>
            </w:r>
          </w:p>
        </w:tc>
        <w:tc>
          <w:tcPr>
            <w:tcW w:type="dxa" w:w="1944"/>
            <w:vAlign w:val="top"/>
            <w:tcBorders>
              <w:top w:val="single" w:color="E7EAF0" w:sz="5"/>
              <w:left w:val="single" w:color="E7EAF0" w:sz="5"/>
              <w:bottom w:val="single" w:color="E7EAF0" w:sz="5"/>
              <w:right w:val="single" w:color="E7EAF0" w:sz="5"/>
            </w:tcBorders>
            <w:tcMar>
              <w:top w:w="130" w:type="dxa"/>
              <w:start w:w="100" w:type="dxa"/>
              <w:bottom w:w="110" w:type="dxa"/>
              <w:end w:w="100" w:type="dxa"/>
            </w:tcMar>
            <w:shd w:fill="F1EBFF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33118C"/>
                <w:sz w:val="17"/>
                <w:spacing w:val="11"/>
              </w:rPr>
              <w:t>Taxation</w:t>
            </w:r>
          </w:p>
        </w:tc>
        <w:tc>
          <w:tcPr>
            <w:tcW w:type="dxa" w:w="7343"/>
            <w:vAlign w:val="top"/>
            <w:tcBorders>
              <w:top w:val="single" w:color="E7EAF0" w:sz="5"/>
              <w:left w:val="single" w:color="E7EAF0" w:sz="5"/>
              <w:bottom w:val="single" w:color="E7EAF0" w:sz="5"/>
              <w:right w:val="single" w:color="E7EAF0" w:sz="5"/>
            </w:tcBorders>
            <w:tcMar>
              <w:top w:w="130" w:type="dxa"/>
              <w:start w:w="100" w:type="dxa"/>
              <w:bottom w:w="110" w:type="dxa"/>
              <w:end w:w="100" w:type="dxa"/>
            </w:tcMar>
            <w:shd w:fill="FFFFFF"/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b/>
                <w:i w:val="0"/>
                <w:color w:val="07142E"/>
                <w:sz w:val="20"/>
              </w:rPr>
              <w:t>Taxation</w:t>
            </w:r>
          </w:p>
          <w:p>
            <w:pPr>
              <w:spacing w:before="0" w:after="60" w:line="259" w:lineRule="auto"/>
              <w:ind w:left="202" w:hanging="202"/>
            </w:pPr>
            <w:r>
              <w:rPr>
                <w:rFonts w:ascii="Arial" w:hAnsi="Arial" w:eastAsia="Arial"/>
                <w:b/>
                <w:i w:val="0"/>
                <w:color w:val="4B1FCF"/>
                <w:sz w:val="17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color w:val="2B2F36"/>
                <w:sz w:val="17"/>
              </w:rPr>
              <w:t>Non-Hong Kong sourced income is not subject to Hong Kong taxes.</w:t>
            </w:r>
          </w:p>
          <w:p>
            <w:pPr>
              <w:spacing w:before="0" w:after="60" w:line="259" w:lineRule="auto"/>
              <w:ind w:left="202" w:hanging="202"/>
            </w:pPr>
            <w:r>
              <w:rPr>
                <w:rFonts w:ascii="Arial" w:hAnsi="Arial" w:eastAsia="Arial"/>
                <w:b/>
                <w:i w:val="0"/>
                <w:color w:val="4B1FCF"/>
                <w:sz w:val="17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color w:val="2B2F36"/>
                <w:sz w:val="17"/>
              </w:rPr>
              <w:t>Hong Kong sourced income is taxed at 8.25% on profits up to HK$2 million, and at 16.5% on profits exceeding HK$2 million.</w:t>
            </w:r>
          </w:p>
        </w:tc>
      </w:tr>
    </w:tbl>
    <w:p>
      <w:pPr>
        <w:spacing w:before="0" w:after="100" w:line="259" w:lineRule="auto"/>
      </w:pPr>
    </w:p>
    <w:tbl>
      <w:tblPr>
        <w:tblW w:type="dxa" w:w="10180"/>
        <w:jc w:val="center"/>
        <w:tblLayout w:type="fixed"/>
        <w:tblLook w:firstColumn="1" w:firstRow="1" w:lastColumn="0" w:lastRow="0" w:noHBand="0" w:noVBand="1" w:val="04A0"/>
      </w:tblPr>
      <w:tblGrid>
        <w:gridCol w:w="892"/>
        <w:gridCol w:w="1944"/>
        <w:gridCol w:w="7343"/>
      </w:tblGrid>
      <w:tr>
        <w:trPr>
          <w:trHeight w:val="1224" w:hRule="atLeast"/>
        </w:trPr>
        <w:tc>
          <w:tcPr>
            <w:tcW w:type="dxa" w:w="892"/>
            <w:vAlign w:val="top"/>
            <w:tcBorders>
              <w:top w:val="single" w:color="E7EAF0" w:sz="5"/>
              <w:left w:val="single" w:color="E7EAF0" w:sz="5"/>
              <w:bottom w:val="single" w:color="E7EAF0" w:sz="5"/>
              <w:right w:val="single" w:color="E7EAF0" w:sz="5"/>
            </w:tcBorders>
            <w:tcMar>
              <w:top w:w="130" w:type="dxa"/>
              <w:start w:w="100" w:type="dxa"/>
              <w:bottom w:w="110" w:type="dxa"/>
              <w:end w:w="100" w:type="dxa"/>
            </w:tcMar>
            <w:shd w:fill="4B1FCF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4"/>
              </w:rPr>
              <w:t>03</w:t>
            </w:r>
          </w:p>
        </w:tc>
        <w:tc>
          <w:tcPr>
            <w:tcW w:type="dxa" w:w="1944"/>
            <w:vAlign w:val="top"/>
            <w:tcBorders>
              <w:top w:val="single" w:color="E7EAF0" w:sz="5"/>
              <w:left w:val="single" w:color="E7EAF0" w:sz="5"/>
              <w:bottom w:val="single" w:color="E7EAF0" w:sz="5"/>
              <w:right w:val="single" w:color="E7EAF0" w:sz="5"/>
            </w:tcBorders>
            <w:tcMar>
              <w:top w:w="130" w:type="dxa"/>
              <w:start w:w="100" w:type="dxa"/>
              <w:bottom w:w="110" w:type="dxa"/>
              <w:end w:w="100" w:type="dxa"/>
            </w:tcMar>
            <w:shd w:fill="F1EBFF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33118C"/>
                <w:sz w:val="17"/>
                <w:spacing w:val="11"/>
              </w:rPr>
              <w:t>Public Records</w:t>
            </w:r>
          </w:p>
        </w:tc>
        <w:tc>
          <w:tcPr>
            <w:tcW w:type="dxa" w:w="7343"/>
            <w:vAlign w:val="top"/>
            <w:tcBorders>
              <w:top w:val="single" w:color="E7EAF0" w:sz="5"/>
              <w:left w:val="single" w:color="E7EAF0" w:sz="5"/>
              <w:bottom w:val="single" w:color="E7EAF0" w:sz="5"/>
              <w:right w:val="single" w:color="E7EAF0" w:sz="5"/>
            </w:tcBorders>
            <w:tcMar>
              <w:top w:w="130" w:type="dxa"/>
              <w:start w:w="100" w:type="dxa"/>
              <w:bottom w:w="110" w:type="dxa"/>
              <w:end w:w="100" w:type="dxa"/>
            </w:tcMar>
            <w:shd w:fill="FFFFFF"/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b/>
                <w:i w:val="0"/>
                <w:color w:val="07142E"/>
                <w:sz w:val="20"/>
              </w:rPr>
              <w:t>Public Records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Arial"/>
                <w:b w:val="0"/>
                <w:i w:val="0"/>
                <w:color w:val="2B2F36"/>
                <w:sz w:val="17"/>
              </w:rPr>
              <w:t>Hong Kong maintains a public register of directors and shareholders, meaning that anyone can access company information for a small fee.</w:t>
            </w:r>
          </w:p>
        </w:tc>
      </w:tr>
    </w:tbl>
    <w:p>
      <w:pPr>
        <w:spacing w:before="0" w:after="100" w:line="259" w:lineRule="auto"/>
      </w:pPr>
    </w:p>
    <w:tbl>
      <w:tblPr>
        <w:tblW w:type="dxa" w:w="10180"/>
        <w:jc w:val="center"/>
        <w:tblLayout w:type="fixed"/>
        <w:tblLook w:firstColumn="1" w:firstRow="1" w:lastColumn="0" w:lastRow="0" w:noHBand="0" w:noVBand="1" w:val="04A0"/>
      </w:tblPr>
      <w:tblGrid>
        <w:gridCol w:w="892"/>
        <w:gridCol w:w="1944"/>
        <w:gridCol w:w="7343"/>
      </w:tblGrid>
      <w:tr>
        <w:trPr>
          <w:trHeight w:val="1584" w:hRule="atLeast"/>
        </w:trPr>
        <w:tc>
          <w:tcPr>
            <w:tcW w:type="dxa" w:w="892"/>
            <w:vAlign w:val="top"/>
            <w:tcBorders>
              <w:top w:val="single" w:color="E7EAF0" w:sz="5"/>
              <w:left w:val="single" w:color="E7EAF0" w:sz="5"/>
              <w:bottom w:val="single" w:color="E7EAF0" w:sz="5"/>
              <w:right w:val="single" w:color="E7EAF0" w:sz="5"/>
            </w:tcBorders>
            <w:tcMar>
              <w:top w:w="130" w:type="dxa"/>
              <w:start w:w="100" w:type="dxa"/>
              <w:bottom w:w="110" w:type="dxa"/>
              <w:end w:w="100" w:type="dxa"/>
            </w:tcMar>
            <w:shd w:fill="4B1FCF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4"/>
              </w:rPr>
              <w:t>04</w:t>
            </w:r>
          </w:p>
        </w:tc>
        <w:tc>
          <w:tcPr>
            <w:tcW w:type="dxa" w:w="1944"/>
            <w:vAlign w:val="top"/>
            <w:tcBorders>
              <w:top w:val="single" w:color="E7EAF0" w:sz="5"/>
              <w:left w:val="single" w:color="E7EAF0" w:sz="5"/>
              <w:bottom w:val="single" w:color="E7EAF0" w:sz="5"/>
              <w:right w:val="single" w:color="E7EAF0" w:sz="5"/>
            </w:tcBorders>
            <w:tcMar>
              <w:top w:w="130" w:type="dxa"/>
              <w:start w:w="100" w:type="dxa"/>
              <w:bottom w:w="110" w:type="dxa"/>
              <w:end w:w="100" w:type="dxa"/>
            </w:tcMar>
            <w:shd w:fill="F1EBFF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33118C"/>
                <w:sz w:val="17"/>
                <w:spacing w:val="11"/>
              </w:rPr>
              <w:t>Governance</w:t>
            </w:r>
          </w:p>
        </w:tc>
        <w:tc>
          <w:tcPr>
            <w:tcW w:type="dxa" w:w="7343"/>
            <w:vAlign w:val="top"/>
            <w:tcBorders>
              <w:top w:val="single" w:color="E7EAF0" w:sz="5"/>
              <w:left w:val="single" w:color="E7EAF0" w:sz="5"/>
              <w:bottom w:val="single" w:color="E7EAF0" w:sz="5"/>
              <w:right w:val="single" w:color="E7EAF0" w:sz="5"/>
            </w:tcBorders>
            <w:tcMar>
              <w:top w:w="130" w:type="dxa"/>
              <w:start w:w="100" w:type="dxa"/>
              <w:bottom w:w="110" w:type="dxa"/>
              <w:end w:w="100" w:type="dxa"/>
            </w:tcMar>
            <w:shd w:fill="FFFFFF"/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b/>
                <w:i w:val="0"/>
                <w:color w:val="07142E"/>
                <w:sz w:val="20"/>
              </w:rPr>
              <w:t>Shareholders and Directors</w:t>
            </w:r>
          </w:p>
          <w:p>
            <w:pPr>
              <w:spacing w:before="0" w:after="60" w:line="259" w:lineRule="auto"/>
              <w:ind w:left="202" w:hanging="202"/>
            </w:pPr>
            <w:r>
              <w:rPr>
                <w:rFonts w:ascii="Arial" w:hAnsi="Arial" w:eastAsia="Arial"/>
                <w:b/>
                <w:i w:val="0"/>
                <w:color w:val="4B1FCF"/>
                <w:sz w:val="17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color w:val="2B2F36"/>
                <w:sz w:val="17"/>
              </w:rPr>
              <w:t>Hong Kong companies allow corporate directors, but at least one director must be an individual.</w:t>
            </w:r>
          </w:p>
          <w:p>
            <w:pPr>
              <w:spacing w:before="0" w:after="60" w:line="259" w:lineRule="auto"/>
              <w:ind w:left="202" w:hanging="202"/>
            </w:pPr>
            <w:r>
              <w:rPr>
                <w:rFonts w:ascii="Arial" w:hAnsi="Arial" w:eastAsia="Arial"/>
                <w:b/>
                <w:i w:val="0"/>
                <w:color w:val="4B1FCF"/>
                <w:sz w:val="17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color w:val="2B2F36"/>
                <w:sz w:val="17"/>
              </w:rPr>
              <w:t>There is no requirement to have a local director.</w:t>
            </w:r>
          </w:p>
          <w:p>
            <w:pPr>
              <w:spacing w:before="0" w:after="60" w:line="259" w:lineRule="auto"/>
              <w:ind w:left="202" w:hanging="202"/>
            </w:pPr>
            <w:r>
              <w:rPr>
                <w:rFonts w:ascii="Arial" w:hAnsi="Arial" w:eastAsia="Arial"/>
                <w:b/>
                <w:i w:val="0"/>
                <w:color w:val="4B1FCF"/>
                <w:sz w:val="17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color w:val="2B2F36"/>
                <w:sz w:val="17"/>
              </w:rPr>
              <w:t>Shareholders can be either foreign corporations or individuals.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80" w:line="259" w:lineRule="auto"/>
      </w:pPr>
      <w:r>
        <w:rPr>
          <w:rFonts w:ascii="Arial" w:hAnsi="Arial" w:eastAsia="Arial"/>
          <w:b/>
          <w:i w:val="0"/>
          <w:color w:val="4B1FCF"/>
          <w:sz w:val="16"/>
          <w:spacing w:val="27"/>
        </w:rPr>
        <w:t>H O N G   K O N G  ·  A D V I S O R Y   G U I D E</w:t>
      </w:r>
    </w:p>
    <w:p>
      <w:pPr>
        <w:spacing w:before="0" w:after="80" w:line="240" w:lineRule="auto"/>
      </w:pPr>
      <w:r>
        <w:rPr>
          <w:rFonts w:ascii="Arial" w:hAnsi="Arial" w:eastAsia="Arial"/>
          <w:b/>
          <w:i w:val="0"/>
          <w:color w:val="07142E"/>
          <w:sz w:val="56"/>
        </w:rPr>
        <w:t>Hong Kong Companies</w:t>
      </w:r>
    </w:p>
    <w:p>
      <w:pPr>
        <w:spacing w:before="0" w:after="240" w:line="259" w:lineRule="auto"/>
      </w:pPr>
      <w:r>
        <w:rPr>
          <w:rFonts w:ascii="Arial" w:hAnsi="Arial" w:eastAsia="Arial"/>
          <w:b w:val="0"/>
          <w:i/>
          <w:color w:val="657083"/>
          <w:sz w:val="20"/>
        </w:rPr>
        <w:t>Client Information &amp; Advisory Guide · continued</w:t>
      </w:r>
    </w:p>
    <w:tbl>
      <w:tblPr>
        <w:tblW w:type="dxa" w:w="10180"/>
        <w:jc w:val="center"/>
        <w:tblLayout w:type="fixed"/>
        <w:tblLook w:firstColumn="1" w:firstRow="1" w:lastColumn="0" w:lastRow="0" w:noHBand="0" w:noVBand="1" w:val="04A0"/>
      </w:tblPr>
      <w:tblGrid>
        <w:gridCol w:w="892"/>
        <w:gridCol w:w="1944"/>
        <w:gridCol w:w="7343"/>
      </w:tblGrid>
      <w:tr>
        <w:trPr>
          <w:trHeight w:val="1224" w:hRule="atLeast"/>
        </w:trPr>
        <w:tc>
          <w:tcPr>
            <w:tcW w:type="dxa" w:w="892"/>
            <w:vAlign w:val="top"/>
            <w:tcBorders>
              <w:top w:val="single" w:color="E7EAF0" w:sz="5"/>
              <w:left w:val="single" w:color="E7EAF0" w:sz="5"/>
              <w:bottom w:val="single" w:color="E7EAF0" w:sz="5"/>
              <w:right w:val="single" w:color="E7EAF0" w:sz="5"/>
            </w:tcBorders>
            <w:tcMar>
              <w:top w:w="130" w:type="dxa"/>
              <w:start w:w="100" w:type="dxa"/>
              <w:bottom w:w="110" w:type="dxa"/>
              <w:end w:w="100" w:type="dxa"/>
            </w:tcMar>
            <w:shd w:fill="4B1FCF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4"/>
              </w:rPr>
              <w:t>05</w:t>
            </w:r>
          </w:p>
        </w:tc>
        <w:tc>
          <w:tcPr>
            <w:tcW w:type="dxa" w:w="1944"/>
            <w:vAlign w:val="top"/>
            <w:tcBorders>
              <w:top w:val="single" w:color="E7EAF0" w:sz="5"/>
              <w:left w:val="single" w:color="E7EAF0" w:sz="5"/>
              <w:bottom w:val="single" w:color="E7EAF0" w:sz="5"/>
              <w:right w:val="single" w:color="E7EAF0" w:sz="5"/>
            </w:tcBorders>
            <w:tcMar>
              <w:top w:w="130" w:type="dxa"/>
              <w:start w:w="100" w:type="dxa"/>
              <w:bottom w:w="110" w:type="dxa"/>
              <w:end w:w="100" w:type="dxa"/>
            </w:tcMar>
            <w:shd w:fill="F1EBFF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33118C"/>
                <w:sz w:val="17"/>
                <w:spacing w:val="11"/>
              </w:rPr>
              <w:t>Accounts</w:t>
            </w:r>
          </w:p>
        </w:tc>
        <w:tc>
          <w:tcPr>
            <w:tcW w:type="dxa" w:w="7343"/>
            <w:vAlign w:val="top"/>
            <w:tcBorders>
              <w:top w:val="single" w:color="E7EAF0" w:sz="5"/>
              <w:left w:val="single" w:color="E7EAF0" w:sz="5"/>
              <w:bottom w:val="single" w:color="E7EAF0" w:sz="5"/>
              <w:right w:val="single" w:color="E7EAF0" w:sz="5"/>
            </w:tcBorders>
            <w:tcMar>
              <w:top w:w="130" w:type="dxa"/>
              <w:start w:w="100" w:type="dxa"/>
              <w:bottom w:w="110" w:type="dxa"/>
              <w:end w:w="100" w:type="dxa"/>
            </w:tcMar>
            <w:shd w:fill="FFFFFF"/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b/>
                <w:i w:val="0"/>
                <w:color w:val="07142E"/>
                <w:sz w:val="20"/>
              </w:rPr>
              <w:t>Accounts and Audit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Arial"/>
                <w:b w:val="0"/>
                <w:i w:val="0"/>
                <w:color w:val="2B2F36"/>
                <w:sz w:val="17"/>
              </w:rPr>
              <w:t>"All Hong Kong companies, except for dormant (non-trading) companies, are required to prepare annual financial statements and appoint a Hong Kong-registered CPA."</w:t>
            </w:r>
          </w:p>
        </w:tc>
      </w:tr>
    </w:tbl>
    <w:p>
      <w:pPr>
        <w:spacing w:before="0" w:after="100" w:line="259" w:lineRule="auto"/>
      </w:pPr>
    </w:p>
    <w:tbl>
      <w:tblPr>
        <w:tblW w:type="dxa" w:w="10180"/>
        <w:jc w:val="center"/>
        <w:tblLayout w:type="fixed"/>
        <w:tblLook w:firstColumn="1" w:firstRow="1" w:lastColumn="0" w:lastRow="0" w:noHBand="0" w:noVBand="1" w:val="04A0"/>
      </w:tblPr>
      <w:tblGrid>
        <w:gridCol w:w="892"/>
        <w:gridCol w:w="1944"/>
        <w:gridCol w:w="7343"/>
      </w:tblGrid>
      <w:tr>
        <w:trPr>
          <w:trHeight w:val="1224" w:hRule="atLeast"/>
        </w:trPr>
        <w:tc>
          <w:tcPr>
            <w:tcW w:type="dxa" w:w="892"/>
            <w:vAlign w:val="top"/>
            <w:tcBorders>
              <w:top w:val="single" w:color="E7EAF0" w:sz="5"/>
              <w:left w:val="single" w:color="E7EAF0" w:sz="5"/>
              <w:bottom w:val="single" w:color="E7EAF0" w:sz="5"/>
              <w:right w:val="single" w:color="E7EAF0" w:sz="5"/>
            </w:tcBorders>
            <w:tcMar>
              <w:top w:w="130" w:type="dxa"/>
              <w:start w:w="100" w:type="dxa"/>
              <w:bottom w:w="110" w:type="dxa"/>
              <w:end w:w="100" w:type="dxa"/>
            </w:tcMar>
            <w:shd w:fill="4B1FCF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4"/>
              </w:rPr>
              <w:t>06</w:t>
            </w:r>
          </w:p>
        </w:tc>
        <w:tc>
          <w:tcPr>
            <w:tcW w:type="dxa" w:w="1944"/>
            <w:vAlign w:val="top"/>
            <w:tcBorders>
              <w:top w:val="single" w:color="E7EAF0" w:sz="5"/>
              <w:left w:val="single" w:color="E7EAF0" w:sz="5"/>
              <w:bottom w:val="single" w:color="E7EAF0" w:sz="5"/>
              <w:right w:val="single" w:color="E7EAF0" w:sz="5"/>
            </w:tcBorders>
            <w:tcMar>
              <w:top w:w="130" w:type="dxa"/>
              <w:start w:w="100" w:type="dxa"/>
              <w:bottom w:w="110" w:type="dxa"/>
              <w:end w:w="100" w:type="dxa"/>
            </w:tcMar>
            <w:shd w:fill="F1EBFF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33118C"/>
                <w:sz w:val="17"/>
                <w:spacing w:val="11"/>
              </w:rPr>
              <w:t>Capital</w:t>
            </w:r>
          </w:p>
        </w:tc>
        <w:tc>
          <w:tcPr>
            <w:tcW w:type="dxa" w:w="7343"/>
            <w:vAlign w:val="top"/>
            <w:tcBorders>
              <w:top w:val="single" w:color="E7EAF0" w:sz="5"/>
              <w:left w:val="single" w:color="E7EAF0" w:sz="5"/>
              <w:bottom w:val="single" w:color="E7EAF0" w:sz="5"/>
              <w:right w:val="single" w:color="E7EAF0" w:sz="5"/>
            </w:tcBorders>
            <w:tcMar>
              <w:top w:w="130" w:type="dxa"/>
              <w:start w:w="100" w:type="dxa"/>
              <w:bottom w:w="110" w:type="dxa"/>
              <w:end w:w="100" w:type="dxa"/>
            </w:tcMar>
            <w:shd w:fill="FFFFFF"/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b/>
                <w:i w:val="0"/>
                <w:color w:val="07142E"/>
                <w:sz w:val="20"/>
              </w:rPr>
              <w:t>Share Capital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Arial"/>
                <w:b w:val="0"/>
                <w:i w:val="0"/>
                <w:color w:val="2B2F36"/>
                <w:sz w:val="17"/>
              </w:rPr>
              <w:t>A Hong Kong company can be registered with a minimum share capital of just HK$1. This capital can be issued immediately, and you can increase the paid-up capital at any time in the future.</w:t>
            </w:r>
          </w:p>
        </w:tc>
      </w:tr>
    </w:tbl>
    <w:p>
      <w:pPr>
        <w:spacing w:before="0" w:after="100" w:line="259" w:lineRule="auto"/>
      </w:pPr>
    </w:p>
    <w:tbl>
      <w:tblPr>
        <w:tblW w:type="dxa" w:w="10180"/>
        <w:jc w:val="center"/>
        <w:tblLayout w:type="fixed"/>
        <w:tblLook w:firstColumn="1" w:firstRow="1" w:lastColumn="0" w:lastRow="0" w:noHBand="0" w:noVBand="1" w:val="04A0"/>
      </w:tblPr>
      <w:tblGrid>
        <w:gridCol w:w="892"/>
        <w:gridCol w:w="1944"/>
        <w:gridCol w:w="7343"/>
      </w:tblGrid>
      <w:tr>
        <w:trPr>
          <w:trHeight w:val="1224" w:hRule="atLeast"/>
        </w:trPr>
        <w:tc>
          <w:tcPr>
            <w:tcW w:type="dxa" w:w="892"/>
            <w:vAlign w:val="top"/>
            <w:tcBorders>
              <w:top w:val="single" w:color="E7EAF0" w:sz="5"/>
              <w:left w:val="single" w:color="E7EAF0" w:sz="5"/>
              <w:bottom w:val="single" w:color="E7EAF0" w:sz="5"/>
              <w:right w:val="single" w:color="E7EAF0" w:sz="5"/>
            </w:tcBorders>
            <w:tcMar>
              <w:top w:w="130" w:type="dxa"/>
              <w:start w:w="100" w:type="dxa"/>
              <w:bottom w:w="110" w:type="dxa"/>
              <w:end w:w="100" w:type="dxa"/>
            </w:tcMar>
            <w:shd w:fill="4B1FCF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4"/>
              </w:rPr>
              <w:t>07</w:t>
            </w:r>
          </w:p>
        </w:tc>
        <w:tc>
          <w:tcPr>
            <w:tcW w:type="dxa" w:w="1944"/>
            <w:vAlign w:val="top"/>
            <w:tcBorders>
              <w:top w:val="single" w:color="E7EAF0" w:sz="5"/>
              <w:left w:val="single" w:color="E7EAF0" w:sz="5"/>
              <w:bottom w:val="single" w:color="E7EAF0" w:sz="5"/>
              <w:right w:val="single" w:color="E7EAF0" w:sz="5"/>
            </w:tcBorders>
            <w:tcMar>
              <w:top w:w="130" w:type="dxa"/>
              <w:start w:w="100" w:type="dxa"/>
              <w:bottom w:w="110" w:type="dxa"/>
              <w:end w:w="100" w:type="dxa"/>
            </w:tcMar>
            <w:shd w:fill="F1EBFF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33118C"/>
                <w:sz w:val="17"/>
                <w:spacing w:val="11"/>
              </w:rPr>
              <w:t>Banking</w:t>
            </w:r>
          </w:p>
        </w:tc>
        <w:tc>
          <w:tcPr>
            <w:tcW w:type="dxa" w:w="7343"/>
            <w:vAlign w:val="top"/>
            <w:tcBorders>
              <w:top w:val="single" w:color="E7EAF0" w:sz="5"/>
              <w:left w:val="single" w:color="E7EAF0" w:sz="5"/>
              <w:bottom w:val="single" w:color="E7EAF0" w:sz="5"/>
              <w:right w:val="single" w:color="E7EAF0" w:sz="5"/>
            </w:tcBorders>
            <w:tcMar>
              <w:top w:w="130" w:type="dxa"/>
              <w:start w:w="100" w:type="dxa"/>
              <w:bottom w:w="110" w:type="dxa"/>
              <w:end w:w="100" w:type="dxa"/>
            </w:tcMar>
            <w:shd w:fill="FFFFFF"/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b/>
                <w:i w:val="0"/>
                <w:color w:val="07142E"/>
                <w:sz w:val="20"/>
              </w:rPr>
              <w:t>Banking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Arial"/>
                <w:b w:val="0"/>
                <w:i w:val="0"/>
                <w:color w:val="2B2F36"/>
                <w:sz w:val="17"/>
              </w:rPr>
              <w:t>We offer assistance in opening a corporate bank account with digital banks (Fintechs) in Hong Kong with Airwallex, Currenxie, Statrys, Wise and Aspire.</w:t>
            </w:r>
          </w:p>
        </w:tc>
      </w:tr>
    </w:tbl>
    <w:p>
      <w:pPr>
        <w:spacing w:before="0" w:after="100" w:line="259" w:lineRule="auto"/>
      </w:pPr>
    </w:p>
    <w:tbl>
      <w:tblPr>
        <w:tblW w:type="dxa" w:w="10180"/>
        <w:jc w:val="center"/>
        <w:tblLayout w:type="fixed"/>
        <w:tblLook w:firstColumn="1" w:firstRow="1" w:lastColumn="0" w:lastRow="0" w:noHBand="0" w:noVBand="1" w:val="04A0"/>
      </w:tblPr>
      <w:tblGrid>
        <w:gridCol w:w="892"/>
        <w:gridCol w:w="1944"/>
        <w:gridCol w:w="7343"/>
      </w:tblGrid>
      <w:tr>
        <w:trPr>
          <w:trHeight w:val="1224" w:hRule="atLeast"/>
        </w:trPr>
        <w:tc>
          <w:tcPr>
            <w:tcW w:type="dxa" w:w="892"/>
            <w:vAlign w:val="top"/>
            <w:tcBorders>
              <w:top w:val="single" w:color="E7EAF0" w:sz="5"/>
              <w:left w:val="single" w:color="E7EAF0" w:sz="5"/>
              <w:bottom w:val="single" w:color="E7EAF0" w:sz="5"/>
              <w:right w:val="single" w:color="E7EAF0" w:sz="5"/>
            </w:tcBorders>
            <w:tcMar>
              <w:top w:w="130" w:type="dxa"/>
              <w:start w:w="100" w:type="dxa"/>
              <w:bottom w:w="110" w:type="dxa"/>
              <w:end w:w="100" w:type="dxa"/>
            </w:tcMar>
            <w:shd w:fill="4B1FCF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4"/>
              </w:rPr>
              <w:t>08</w:t>
            </w:r>
          </w:p>
        </w:tc>
        <w:tc>
          <w:tcPr>
            <w:tcW w:type="dxa" w:w="1944"/>
            <w:vAlign w:val="top"/>
            <w:tcBorders>
              <w:top w:val="single" w:color="E7EAF0" w:sz="5"/>
              <w:left w:val="single" w:color="E7EAF0" w:sz="5"/>
              <w:bottom w:val="single" w:color="E7EAF0" w:sz="5"/>
              <w:right w:val="single" w:color="E7EAF0" w:sz="5"/>
            </w:tcBorders>
            <w:tcMar>
              <w:top w:w="130" w:type="dxa"/>
              <w:start w:w="100" w:type="dxa"/>
              <w:bottom w:w="110" w:type="dxa"/>
              <w:end w:w="100" w:type="dxa"/>
            </w:tcMar>
            <w:shd w:fill="F1EBFF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33118C"/>
                <w:sz w:val="17"/>
                <w:spacing w:val="11"/>
              </w:rPr>
              <w:t>Our Fees</w:t>
            </w:r>
          </w:p>
        </w:tc>
        <w:tc>
          <w:tcPr>
            <w:tcW w:type="dxa" w:w="7343"/>
            <w:vAlign w:val="top"/>
            <w:tcBorders>
              <w:top w:val="single" w:color="E7EAF0" w:sz="5"/>
              <w:left w:val="single" w:color="E7EAF0" w:sz="5"/>
              <w:bottom w:val="single" w:color="E7EAF0" w:sz="5"/>
              <w:right w:val="single" w:color="E7EAF0" w:sz="5"/>
            </w:tcBorders>
            <w:tcMar>
              <w:top w:w="130" w:type="dxa"/>
              <w:start w:w="100" w:type="dxa"/>
              <w:bottom w:w="110" w:type="dxa"/>
              <w:end w:w="100" w:type="dxa"/>
            </w:tcMar>
            <w:shd w:fill="FFFFFF"/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b/>
                <w:i w:val="0"/>
                <w:color w:val="07142E"/>
                <w:sz w:val="20"/>
              </w:rPr>
              <w:t>Fees</w:t>
            </w:r>
          </w:p>
          <w:p>
            <w:pPr>
              <w:spacing w:before="0" w:after="60" w:line="259" w:lineRule="auto"/>
              <w:ind w:left="202" w:hanging="202"/>
            </w:pPr>
            <w:r>
              <w:rPr>
                <w:rFonts w:ascii="Arial" w:hAnsi="Arial" w:eastAsia="Arial"/>
                <w:b/>
                <w:i w:val="0"/>
                <w:color w:val="4B1FCF"/>
                <w:sz w:val="17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color w:val="2B2F36"/>
                <w:sz w:val="17"/>
              </w:rPr>
              <w:t>Incorporation, Company Secretary, and Registered Office Fees, Business Registration Certificate Fees: USD 1,850 per year along with year-round support for all company-related matters from us.</w:t>
            </w:r>
          </w:p>
        </w:tc>
      </w:tr>
    </w:tbl>
    <w:p>
      <w:pPr>
        <w:spacing w:before="0" w:after="100" w:line="259" w:lineRule="auto"/>
      </w:pPr>
    </w:p>
    <w:tbl>
      <w:tblPr>
        <w:tblW w:type="dxa" w:w="10180"/>
        <w:jc w:val="center"/>
        <w:tblLayout w:type="fixed"/>
        <w:tblLook w:firstColumn="1" w:firstRow="1" w:lastColumn="0" w:lastRow="0" w:noHBand="0" w:noVBand="1" w:val="04A0"/>
      </w:tblPr>
      <w:tblGrid>
        <w:gridCol w:w="892"/>
        <w:gridCol w:w="1944"/>
        <w:gridCol w:w="7343"/>
      </w:tblGrid>
      <w:tr>
        <w:trPr>
          <w:trHeight w:val="1584" w:hRule="atLeast"/>
        </w:trPr>
        <w:tc>
          <w:tcPr>
            <w:tcW w:type="dxa" w:w="892"/>
            <w:vAlign w:val="top"/>
            <w:tcBorders>
              <w:top w:val="single" w:color="E7EAF0" w:sz="5"/>
              <w:left w:val="single" w:color="E7EAF0" w:sz="5"/>
              <w:bottom w:val="single" w:color="E7EAF0" w:sz="5"/>
              <w:right w:val="single" w:color="E7EAF0" w:sz="5"/>
            </w:tcBorders>
            <w:tcMar>
              <w:top w:w="130" w:type="dxa"/>
              <w:start w:w="100" w:type="dxa"/>
              <w:bottom w:w="110" w:type="dxa"/>
              <w:end w:w="100" w:type="dxa"/>
            </w:tcMar>
            <w:shd w:fill="4B1FCF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4"/>
              </w:rPr>
              <w:t>09</w:t>
            </w:r>
          </w:p>
        </w:tc>
        <w:tc>
          <w:tcPr>
            <w:tcW w:type="dxa" w:w="1944"/>
            <w:vAlign w:val="top"/>
            <w:tcBorders>
              <w:top w:val="single" w:color="E7EAF0" w:sz="5"/>
              <w:left w:val="single" w:color="E7EAF0" w:sz="5"/>
              <w:bottom w:val="single" w:color="E7EAF0" w:sz="5"/>
              <w:right w:val="single" w:color="E7EAF0" w:sz="5"/>
            </w:tcBorders>
            <w:tcMar>
              <w:top w:w="130" w:type="dxa"/>
              <w:start w:w="100" w:type="dxa"/>
              <w:bottom w:w="110" w:type="dxa"/>
              <w:end w:w="100" w:type="dxa"/>
            </w:tcMar>
            <w:shd w:fill="F1EBFF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33118C"/>
                <w:sz w:val="17"/>
                <w:spacing w:val="11"/>
              </w:rPr>
              <w:t>Renewal</w:t>
            </w:r>
          </w:p>
        </w:tc>
        <w:tc>
          <w:tcPr>
            <w:tcW w:type="dxa" w:w="7343"/>
            <w:vAlign w:val="top"/>
            <w:tcBorders>
              <w:top w:val="single" w:color="E7EAF0" w:sz="5"/>
              <w:left w:val="single" w:color="E7EAF0" w:sz="5"/>
              <w:bottom w:val="single" w:color="E7EAF0" w:sz="5"/>
              <w:right w:val="single" w:color="E7EAF0" w:sz="5"/>
            </w:tcBorders>
            <w:tcMar>
              <w:top w:w="130" w:type="dxa"/>
              <w:start w:w="100" w:type="dxa"/>
              <w:bottom w:w="110" w:type="dxa"/>
              <w:end w:w="100" w:type="dxa"/>
            </w:tcMar>
            <w:shd w:fill="FFFFFF"/>
          </w:tcPr>
          <w:p>
            <w:pPr>
              <w:spacing w:before="0" w:after="60" w:line="259" w:lineRule="auto"/>
            </w:pPr>
            <w:r>
              <w:rPr>
                <w:rFonts w:ascii="Arial" w:hAnsi="Arial" w:eastAsia="Arial"/>
                <w:b w:val="0"/>
                <w:i w:val="0"/>
                <w:color w:val="2B2F36"/>
                <w:sz w:val="17"/>
              </w:rPr>
              <w:t>Renewal (from the 2nd year onwards): Company Secretary, Registered Office Fees, Business Registration Certificate, and Annual Return Fees: USD 1,650 per year along with year-round support for all company-related matters from us.  The renewal fee does not include any accounting, audit or simplified accounting which will be due at the time of renewal.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35" w:right="835" w:bottom="979" w:left="835" w:header="259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left"/>
      <w:pBdr>
        <w:top w:val="single" w:sz="8" w:space="3" w:color="4B1FCF"/>
      </w:pBdr>
    </w:pPr>
    <w:r>
      <w:rPr>
        <w:rFonts w:ascii="Arial" w:hAnsi="Arial" w:eastAsia="Arial"/>
        <w:b w:val="0"/>
        <w:i/>
        <w:color w:val="657083"/>
        <w:sz w:val="14"/>
      </w:rPr>
      <w:t>Hong Kong Companies — Client Information</w:t>
    </w:r>
  </w:p>
  <w:p>
    <w:pPr>
      <w:spacing w:after="0"/>
      <w:jc w:val="right"/>
    </w:pPr>
    <w:r>
      <w:rPr>
        <w:rFonts w:ascii="Arial" w:hAnsi="Arial" w:eastAsia="Arial"/>
        <w:b w:val="0"/>
        <w:i w:val="0"/>
        <w:color w:val="657083"/>
        <w:sz w:val="14"/>
      </w:rPr>
      <w:t>bizwholistic.com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drawing>
        <wp:inline xmlns:a="http://schemas.openxmlformats.org/drawingml/2006/main" xmlns:pic="http://schemas.openxmlformats.org/drawingml/2006/picture">
          <wp:extent cx="1417320" cy="79724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K_info_sheet_ENG_styled_image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17320" cy="797242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2B2F36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