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Hong Kong · Client Information &amp; Advisory Guide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1EBFF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01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INCORPORATION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7F3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Company Incorporation</w:t>
            </w:r>
          </w:p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8F6FE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02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TAXATION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FFF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Taxation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Non-Hong Kong sourced income is not subject to Hong Kong taxes.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1EBFF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03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PUBLIC RECORDS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7F3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Public Records</w:t>
            </w:r>
          </w:p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8F6FE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04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GOVERNANCE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FFF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Shareholders and Directors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companies allow corporate directors, but at least one director must be an individual.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There is no requirement to have a local director.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Shareholders can be either foreign corporations or individuals.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1EBFF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05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ACCOUNTS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7F3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Accounts and Audit</w:t>
            </w:r>
          </w:p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 w:line="259" w:lineRule="auto"/>
      </w:pPr>
      <w:r>
        <w:rPr>
          <w:rFonts w:ascii="Arial" w:hAnsi="Arial" w:eastAsia="Arial"/>
          <w:b/>
          <w:i w:val="0"/>
          <w:color w:val="07142E"/>
          <w:sz w:val="40"/>
        </w:rPr>
        <w:t>Hong Kong Companies</w:t>
      </w:r>
    </w:p>
    <w:p>
      <w:pPr>
        <w:spacing w:before="0" w:after="200" w:line="259" w:lineRule="auto"/>
      </w:pPr>
      <w:r>
        <w:rPr>
          <w:rFonts w:ascii="Arial" w:hAnsi="Arial" w:eastAsia="Arial"/>
          <w:b w:val="0"/>
          <w:i/>
          <w:color w:val="657083"/>
          <w:sz w:val="19"/>
        </w:rPr>
        <w:t>Client Information &amp; Advisory Guide · continued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8F6FE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06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CAPITAL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FFF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 Capital</w:t>
            </w:r>
          </w:p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1EBFF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07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BANKING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7F3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Banking</w:t>
            </w:r>
          </w:p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8F6FE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08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OUR FEES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FFF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Fees</w:t>
            </w:r>
          </w:p>
          <w:p>
            <w:pPr>
              <w:spacing w:before="0" w:after="60" w:line="257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60" w:line="259" w:lineRule="auto"/>
      </w:pP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8640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vAlign w:val="top"/>
            <w:shd w:fill="F1EBFF"/>
            <w:tcMar>
              <w:top w:w="110" w:type="dxa"/>
              <w:start w:w="10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09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1"/>
                <w:spacing w:val="10"/>
              </w:rPr>
              <w:t>RENEWAL</w:t>
            </w:r>
          </w:p>
        </w:tc>
        <w:tc>
          <w:tcPr>
            <w:tcW w:type="dxa" w:w="8640"/>
            <w:tcBorders>
              <w:top w:val="nil"/>
              <w:left w:val="nil"/>
              <w:bottom w:val="nil"/>
              <w:right w:val="nil"/>
            </w:tcBorders>
            <w:vAlign w:val="top"/>
            <w:shd w:fill="F7F3FF"/>
            <w:tcMar>
              <w:top w:w="11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60" w:line="257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936" w:left="936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