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right"/>
      </w:pPr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K_info_sheet_ENG_styled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81832"/>
            <w:tcBorders>
              <w:top w:val="nil"/>
              <w:left w:val="nil"/>
              <w:bottom w:val="nil"/>
              <w:right w:val="nil"/>
            </w:tcBorders>
            <w:tcMar>
              <w:top w:w="550" w:type="dxa"/>
              <w:start w:w="420" w:type="dxa"/>
              <w:bottom w:w="550" w:type="dxa"/>
              <w:end w:w="420" w:type="dxa"/>
            </w:tcMar>
          </w:tcPr>
          <w:p>
            <w:pPr>
              <w:spacing w:before="0" w:after="120" w:line="228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60"/>
              </w:rPr>
              <w:t>Hong Kong Companies</w:t>
            </w:r>
          </w:p>
          <w:p>
            <w:pPr>
              <w:spacing w:before="0" w:after="400" w:line="259" w:lineRule="auto"/>
            </w:pPr>
            <w:r>
              <w:rPr>
                <w:rFonts w:ascii="Arial" w:hAnsi="Arial" w:eastAsia="Arial"/>
                <w:b w:val="0"/>
                <w:i/>
                <w:color w:val="D8CCFF"/>
                <w:sz w:val="22"/>
              </w:rPr>
              <w:t>Hong Kong · Client Information &amp; Advisory Guide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D8CCFF"/>
                <w:sz w:val="17"/>
                <w:caps w:val="1"/>
                <w:spacing w:val="20"/>
              </w:rPr>
              <w:t>Prepared for BizWholistic clients</w:t>
            </w:r>
          </w:p>
        </w:tc>
      </w:tr>
    </w:tbl>
    <w:p>
      <w:pPr>
        <w:spacing w:before="0" w:after="240" w:line="259" w:lineRule="auto"/>
      </w:pPr>
    </w:p>
    <w:p>
      <w:pPr>
        <w:spacing w:before="0" w:after="0" w:line="259" w:lineRule="auto"/>
        <w:jc w:val="right"/>
      </w:pPr>
      <w:r>
        <w:rPr>
          <w:rFonts w:ascii="Arial" w:hAnsi="Arial" w:eastAsia="Arial"/>
          <w:b w:val="0"/>
          <w:i/>
          <w:color w:val="657083"/>
          <w:sz w:val="20"/>
        </w:rPr>
        <w:t>Simplifying success. Globally.</w:t>
      </w:r>
    </w:p>
    <w:p>
      <w:pPr>
        <w:spacing w:before="0" w:after="0"/>
      </w:pPr>
      <w:r>
        <w:br w:type="page"/>
      </w:r>
    </w:p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1325880" cy="74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K_info_sheet_ENG_styled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5"/>
          <w:spacing w:val="22"/>
        </w:rPr>
        <w:t>CLIENT INFORMATION &amp; ADVISORY GUIDE</w:t>
      </w:r>
    </w:p>
    <w:p>
      <w:pPr>
        <w:spacing w:before="0" w:after="200" w:line="259" w:lineRule="auto"/>
      </w:pPr>
      <w:r>
        <w:rPr>
          <w:rFonts w:ascii="Arial" w:hAnsi="Arial" w:eastAsia="Arial"/>
          <w:b/>
          <w:i w:val="0"/>
          <w:color w:val="07142E"/>
          <w:sz w:val="44"/>
        </w:rPr>
        <w:t>Hong Kong Companies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01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Incorporation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Company Incorporation</w:t>
            </w:r>
          </w:p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02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Taxation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Taxation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Non-Hong Kong sourced income is not subject to Hong Kong taxes.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03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Public Records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Public Records</w:t>
            </w:r>
          </w:p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04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Governance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Shareholders and Directors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Hong Kong companies allow corporate directors, but at least one director must be an individual.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There is no requirement to have a local director.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Shareholders can be either foreign corporations or individuals.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05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Accounts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Accounts and Audit</w:t>
            </w:r>
          </w:p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1325880" cy="745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K_info_sheet_ENG_styled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5"/>
          <w:spacing w:val="22"/>
        </w:rPr>
        <w:t>CLIENT INFORMATION &amp; ADVISORY GUIDE</w:t>
      </w:r>
    </w:p>
    <w:p>
      <w:pPr>
        <w:spacing w:before="0" w:after="200" w:line="259" w:lineRule="auto"/>
      </w:pPr>
      <w:r>
        <w:rPr>
          <w:rFonts w:ascii="Arial" w:hAnsi="Arial" w:eastAsia="Arial"/>
          <w:b/>
          <w:i w:val="0"/>
          <w:color w:val="07142E"/>
          <w:sz w:val="44"/>
        </w:rPr>
        <w:t>Hong Kong Companies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06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Capital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 Capital</w:t>
            </w:r>
          </w:p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07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Banking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Banking</w:t>
            </w:r>
          </w:p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08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Our Fees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Fees</w:t>
            </w:r>
          </w:p>
          <w:p>
            <w:pPr>
              <w:spacing w:before="0" w:after="60" w:line="25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8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c>
          <w:tcPr>
            <w:tcW w:type="dxa" w:w="1512"/>
            <w:vAlign w:val="top"/>
            <w:shd w:fill="F1EBFF"/>
            <w:tcBorders>
              <w:top w:val="single" w:color="E7EAF0" w:sz="4"/>
              <w:left w:val="single" w:color="4B1FCF" w:sz="12"/>
              <w:bottom w:val="single" w:color="E7EAF0" w:sz="4"/>
              <w:right w:val="single" w:color="E7EAF0" w:sz="4"/>
            </w:tcBorders>
            <w:tcMar>
              <w:top w:w="100" w:type="dxa"/>
              <w:start w:w="130" w:type="dxa"/>
              <w:bottom w:w="90" w:type="dxa"/>
              <w:end w:w="9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0"/>
              </w:rPr>
              <w:t>09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4"/>
                <w:spacing w:val="10"/>
              </w:rPr>
              <w:t>Renewal</w:t>
            </w:r>
          </w:p>
        </w:tc>
        <w:tc>
          <w:tcPr>
            <w:tcW w:type="dxa" w:w="8496"/>
            <w:vAlign w:val="top"/>
            <w:shd w:fill="FFFFFF"/>
            <w:tcBorders>
              <w:top w:val="single" w:color="E7EAF0" w:sz="4"/>
              <w:left w:val="single" w:color="E7EAF0" w:sz="4"/>
              <w:bottom w:val="single" w:color="E7EAF0" w:sz="4"/>
              <w:right w:val="single" w:color="E7EAF0" w:sz="4"/>
            </w:tcBorders>
            <w:tcMar>
              <w:top w:w="100" w:type="dxa"/>
              <w:start w:w="160" w:type="dxa"/>
              <w:bottom w:w="90" w:type="dxa"/>
              <w:end w:w="150" w:type="dxa"/>
            </w:tcMar>
          </w:tcPr>
          <w:p>
            <w:pPr>
              <w:spacing w:before="0" w:after="60" w:line="25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35" w:bottom="936" w:left="835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