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rFonts w:ascii="Calibri" w:cs="Calibri" w:eastAsia="Calibri" w:hAnsi="Calibri"/>
          <w:b/>
          <w:bCs/>
          <w:color w:val="0F6E56"/>
          <w:sz w:val="48"/>
          <w:szCs w:val="48"/>
        </w:rPr>
        <w:t xml:space="preserve">GOOD LIQUID BEV CO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F2A37"/>
          <w:sz w:val="30"/>
          <w:szCs w:val="30"/>
        </w:rPr>
        <w:t xml:space="preserve">GMP / SQF SOP Supplement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7C78"/>
          <w:sz w:val="20"/>
          <w:szCs w:val="20"/>
        </w:rPr>
        <w:t xml:space="preserve">Double-Seam Integrity · Label Control &amp; Reconciliation · Master Sanitation Schedule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7C78"/>
          <w:sz w:val="19"/>
          <w:szCs w:val="19"/>
        </w:rPr>
        <w:t xml:space="preserve">2011 51st Ave E, Unit 100, Palmetto, FL 34221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6B7C78"/>
          <w:sz w:val="18"/>
          <w:szCs w:val="18"/>
        </w:rPr>
        <w:t xml:space="preserve">Revision 1.0  ·  Effective 2026-07-30  ·  Approved: Mike Krail — Owner / PCQI</w:t>
      </w:r>
    </w:p>
    <w:p>
      <w:pPr>
        <w:spacing w:before="220"/>
        <w:jc w:val="center"/>
      </w:pPr>
      <w:r>
        <w:rPr>
          <w:rFonts w:ascii="Calibri" w:cs="Calibri" w:eastAsia="Calibri" w:hAnsi="Calibri"/>
          <w:i/>
          <w:iCs/>
          <w:color w:val="6B7C78"/>
          <w:sz w:val="18"/>
          <w:szCs w:val="18"/>
        </w:rPr>
        <w:t xml:space="preserve">These procedures close the documented-SOP gaps identified in the SQF Fundamentals review. Each pairs with a digital register in the CRM Daily GMP module.</w:t>
      </w:r>
    </w:p>
    <w:p>
      <w:r>
        <w:br w:type="page"/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0F6E56"/>
          <w:sz w:val="30"/>
          <w:szCs w:val="30"/>
        </w:rPr>
        <w:t xml:space="preserve">SOP — Double-Seam Integrity Inspection</w:t>
      </w:r>
    </w:p>
    <w:tbl>
      <w:tblPr>
        <w:tblW w:type="pct" w:w="100%"/>
        <w:tblBorders>
          <w:top w:val="single" w:color="B7C4C0" w:sz="4"/>
          <w:left w:val="single" w:color="B7C4C0" w:sz="4"/>
          <w:bottom w:val="single" w:color="B7C4C0" w:sz="4"/>
          <w:right w:val="single" w:color="B7C4C0" w:sz="4"/>
          <w:insideH w:val="single" w:color="B7C4C0" w:sz="4"/>
          <w:insideV w:val="single" w:color="B7C4C0" w:sz="4"/>
        </w:tblBorders>
      </w:tblPr>
      <w:tblGrid>
        <w:gridCol w:w="100"/>
        <w:gridCol w:w="100"/>
      </w:tblGrid>
      <w:tr>
        <w:tc>
          <w:tcPr>
            <w:tcW w:type="pct" w:w="28%"/>
            <w:shd w:fill="EAF3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Document No.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SOP-DS-01</w:t>
            </w:r>
          </w:p>
        </w:tc>
      </w:tr>
      <w:tr>
        <w:tc>
          <w:tcPr>
            <w:tcW w:type="pct" w:w="28%"/>
            <w:shd w:fill="EAF3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Revision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1.0   ·   Effective 2026-07-30</w:t>
            </w:r>
          </w:p>
        </w:tc>
      </w:tr>
      <w:tr>
        <w:tc>
          <w:tcPr>
            <w:tcW w:type="pct" w:w="28%"/>
            <w:shd w:fill="EAF3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Approved by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Mike Krail — Owner / PCQI</w:t>
            </w:r>
          </w:p>
        </w:tc>
      </w:tr>
      <w:tr>
        <w:tc>
          <w:tcPr>
            <w:tcW w:type="pct" w:w="28%"/>
            <w:shd w:fill="EAF3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Review frequency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Annual, or on process/regulatory change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To verify that every can/end double seam produced meets integrity specifications, so that hermetically sealed, low-acid and acidified products remain commercially sterile and safe. A defective seam is a direct food-safety hazard (loss of hermetic seal → post-process contamination).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2. Scope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Applies to all seamed (double-seamed) container production on every seamer and seaming head at the Palmetto facility. Covers visual inspection at startup and at defined intervals, plus periodic seam teardown/micrometer measurement.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3. Definitions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Double seam — the mechanical interlock of the can body flange and the end curl, formed in two roll operations (first- and second-operation rolls).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Teardown — destructive seam examination (seam saw / micrometer / seam projector) measuring body hook, cover (end) hook, overlap, and tightness.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Cutover / droop / vee / knock-down — visual seam defects indicating a first/second-operation or roll problem.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4. Responsibilities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Line operator — performs and records visual checks each startup and interval; stops the line on any visual defect.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Seaming technician / QA — performs scheduled teardowns and records micrometer dimensions; adjusts or locks out the seamer as needed.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PCQI / owner — reviews the log daily, dispositions held product, and approves seamer release after corrective action.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At each startup and at least every 30 minutes of run (and after any seamer adjustment or jam clear), pull a can from each operating 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Visually examine the seam around the full circumference for cutovers, droops, vees, sharp seams, false seams, or knock-down flanges. Record Pass/Fail.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Perform a seam teardown at startup and at least once per 4-hour shift per seamer: measure body hook, cover hook, and overlap; assess tightness (wrinkle rating) and record the readings.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Compare each dimension to the can/end supplier’s published seam specification for that container. Any value outside spec is a Fail.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Enter all results in the Double-Seam Inspection Log (or the CRM Daily GMP entry). Sign the record.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Monitoring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Visual: every startup and at ≤30-minute intervals per operating head. Teardown/micrometer: startup and ≥ once per 4-hour shift per seamer, and after any seamer change/adjustment.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Acceptance criteria / limits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Visual seam: no cutovers, droops, vees, sharp or false seams — must be Pass.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Body hook, cover hook, overlap, tightness: within the container supplier’s seam specification for the specific can/end.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Corrective 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On any visual or dimensional Fail: stop the affected seamer/head immediately.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Place all product produced back to the last documented good check on HOLD (DO NOT SHIP) and tag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Adjust the seamer, re-seam a test can, and re-verify (visual + teardown) before resuming.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PCQI dispositions held product (release, rework, or destroy) and records the disposition. Open a CAPA if the cause is systemic.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Verification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PCQI reviews the double-seam log daily for completeness and out-of-spec trends. Seam micrometers/projectors are calibrated on a documented schedule. Records are retained ≥ 3 years (or per LACF/acidified requirement).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Double-Seam Inspection Log (paper template herein or CRM register GMP-SEAM-001).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Seam teardown measurement records; seamer adjustment / maintenance records.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Hold tags and product disposition records for any Fail.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21 CFR 113 (thermally processed low-acid foods) / 21 CFR 114 (acidified foods), as applicable.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FDA Canned Foods — Principles of Thermal Process Control, Acidification, and Container Closure Evaluation.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Container supplier double-seam specification sheets.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Log template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C78"/>
          <w:sz w:val="21"/>
          <w:szCs w:val="21"/>
        </w:rPr>
        <w:t xml:space="preserve">Blank template shown below; the CRM Daily GMP module captures the same fields digitally (one entry fans out to every register).</w:t>
      </w:r>
    </w:p>
    <w:tbl>
      <w:tblPr>
        <w:tblW w:type="pct" w:w="100%"/>
        <w:tblBorders>
          <w:top w:val="single" w:color="B7C4C0" w:sz="4"/>
          <w:left w:val="single" w:color="B7C4C0" w:sz="4"/>
          <w:bottom w:val="single" w:color="B7C4C0" w:sz="4"/>
          <w:right w:val="single" w:color="B7C4C0" w:sz="4"/>
          <w:insideH w:val="single" w:color="B7C4C0" w:sz="4"/>
          <w:insideV w:val="single" w:color="B7C4C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Line / Run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Seamer / Head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 / Lot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 OK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Body hook (in)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Cover hook (in)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Overlap (in)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Tightness OK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By / Initials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B7C4C0" w:sz="4"/>
          <w:left w:val="single" w:color="B7C4C0" w:sz="4"/>
          <w:bottom w:val="single" w:color="B7C4C0" w:sz="4"/>
          <w:right w:val="single" w:color="B7C4C0" w:sz="4"/>
          <w:insideH w:val="single" w:color="B7C4C0" w:sz="4"/>
          <w:insideV w:val="single" w:color="B7C4C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2026-07-30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Initial issue — closes SQF documented-SOP gap.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MK</w:t>
            </w:r>
          </w:p>
        </w:tc>
      </w:tr>
    </w:tbl>
    <w:p>
      <w:r>
        <w:br w:type="page"/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0F6E56"/>
          <w:sz w:val="30"/>
          <w:szCs w:val="30"/>
        </w:rPr>
        <w:t xml:space="preserve">SOP — Label Control &amp; Reconciliation</w:t>
      </w:r>
    </w:p>
    <w:tbl>
      <w:tblPr>
        <w:tblW w:type="pct" w:w="100%"/>
        <w:tblBorders>
          <w:top w:val="single" w:color="B7C4C0" w:sz="4"/>
          <w:left w:val="single" w:color="B7C4C0" w:sz="4"/>
          <w:bottom w:val="single" w:color="B7C4C0" w:sz="4"/>
          <w:right w:val="single" w:color="B7C4C0" w:sz="4"/>
          <w:insideH w:val="single" w:color="B7C4C0" w:sz="4"/>
          <w:insideV w:val="single" w:color="B7C4C0" w:sz="4"/>
        </w:tblBorders>
      </w:tblPr>
      <w:tblGrid>
        <w:gridCol w:w="100"/>
        <w:gridCol w:w="100"/>
      </w:tblGrid>
      <w:tr>
        <w:tc>
          <w:tcPr>
            <w:tcW w:type="pct" w:w="28%"/>
            <w:shd w:fill="EAF3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Document No.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SOP-LC-01</w:t>
            </w:r>
          </w:p>
        </w:tc>
      </w:tr>
      <w:tr>
        <w:tc>
          <w:tcPr>
            <w:tcW w:type="pct" w:w="28%"/>
            <w:shd w:fill="EAF3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Revision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1.0   ·   Effective 2026-07-30</w:t>
            </w:r>
          </w:p>
        </w:tc>
      </w:tr>
      <w:tr>
        <w:tc>
          <w:tcPr>
            <w:tcW w:type="pct" w:w="28%"/>
            <w:shd w:fill="EAF3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Approved by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Mike Krail — Owner / PCQI</w:t>
            </w:r>
          </w:p>
        </w:tc>
      </w:tr>
      <w:tr>
        <w:tc>
          <w:tcPr>
            <w:tcW w:type="pct" w:w="28%"/>
            <w:shd w:fill="EAF3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Review frequency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Annual, or on process/regulatory change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To ensure the correct, approved label/artwork is applied to every product and that label usage reconciles at the end of each run — preventing mislabeled product (wrong allergen/ingredient statement, wrong net contents, wrong lot/date code) from reaching the field. Mislabeling is a leading cause of recalls.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2. Scope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Applies to all labels, shrink sleeves, printed cans/cartons, and applied date/lot codes for every finished-goods run at the Palmetto facility.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3. Definitions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Artwork of record — the current, approved label version controlled in the specification file.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Reconciliation — received quantity = applied (good) + damaged/scrapped + returned to stock.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4. Responsibilities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Line operator — verifies the approved artwork/version before startup; counts and records labels received, applied, and scrapped.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QA / PCQI — approves artwork versions, investigates any reconciliation variance, and authorizes finished-goods release.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Before startup, pull the artwork of record for the scheduled product and confirm the label/sleeve on hand matches the approved version (brand, net contents, ingredient &amp; allergen statement, UPC).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correct lot / date code is set and legible on a first-article unit.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labels/sleeves received (issued to the line) for the run.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At end of run, count applied/good units, damaged/scrapped labels, and any returned to stock.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Reconcile: received must equal applied + scrapped + returned. Record Pass/Fail and any variance explanation.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Destroy or quarantine obsolete/superseded label stock so it cannot be used.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Monitoring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Artwork/version check and first-article code check every run at startup. Reconciliation at the end of every run.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Acceptance criteria / limits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Artwork/label version = approved version on file (Pass).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Reconciliation gap = 0 unexplained units (received = applied + scrapped + returned).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Corrective 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Wrong or unapproved artwork: stop, remove incorrect labels from the line, load correct approved stock, verify first-article, then resume.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Reconciliation variance: quarantine the run and investigate before release — a gap can indicate mislabeled units. PCQI dispositions and opens a CAPA.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suspect product already shipped, initiate the traceability/recall procedure.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Verification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PCQI reviews label reconciliation records for every run; verifies obsolete artwork is removed. Records retained ≥ 3 years.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Label / Artwork Reconciliation Log (template herein or CRM register GMP-LABEL-001).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Approved artwork specification file with version history.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21 CFR 101 (Food Labeling); FALCPA allergen labeling.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SQF Food Safety Code — product identification, label reconciliation.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Log template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C78"/>
          <w:sz w:val="21"/>
          <w:szCs w:val="21"/>
        </w:rPr>
        <w:t xml:space="preserve">Blank template shown below; the CRM Daily GMP module captures the same fields digitally (one entry fans out to every register).</w:t>
      </w:r>
    </w:p>
    <w:tbl>
      <w:tblPr>
        <w:tblW w:type="pct" w:w="100%"/>
        <w:tblBorders>
          <w:top w:val="single" w:color="B7C4C0" w:sz="4"/>
          <w:left w:val="single" w:color="B7C4C0" w:sz="4"/>
          <w:bottom w:val="single" w:color="B7C4C0" w:sz="4"/>
          <w:right w:val="single" w:color="B7C4C0" w:sz="4"/>
          <w:insideH w:val="single" w:color="B7C4C0" w:sz="4"/>
          <w:insideV w:val="single" w:color="B7C4C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 / Brand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Lot / Date code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Artwork approved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Received (qty)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Applied (qty)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Scrapped (qty)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Reconciles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Variance note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By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B7C4C0" w:sz="4"/>
          <w:left w:val="single" w:color="B7C4C0" w:sz="4"/>
          <w:bottom w:val="single" w:color="B7C4C0" w:sz="4"/>
          <w:right w:val="single" w:color="B7C4C0" w:sz="4"/>
          <w:insideH w:val="single" w:color="B7C4C0" w:sz="4"/>
          <w:insideV w:val="single" w:color="B7C4C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2026-07-30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Initial issue — closes SQF documented-SOP gap.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MK</w:t>
            </w:r>
          </w:p>
        </w:tc>
      </w:tr>
    </w:tbl>
    <w:p>
      <w:r>
        <w:br w:type="page"/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0F6E56"/>
          <w:sz w:val="30"/>
          <w:szCs w:val="30"/>
        </w:rPr>
        <w:t xml:space="preserve">Program — Master Sanitation Schedule (MSS)</w:t>
      </w:r>
    </w:p>
    <w:tbl>
      <w:tblPr>
        <w:tblW w:type="pct" w:w="100%"/>
        <w:tblBorders>
          <w:top w:val="single" w:color="B7C4C0" w:sz="4"/>
          <w:left w:val="single" w:color="B7C4C0" w:sz="4"/>
          <w:bottom w:val="single" w:color="B7C4C0" w:sz="4"/>
          <w:right w:val="single" w:color="B7C4C0" w:sz="4"/>
          <w:insideH w:val="single" w:color="B7C4C0" w:sz="4"/>
          <w:insideV w:val="single" w:color="B7C4C0" w:sz="4"/>
        </w:tblBorders>
      </w:tblPr>
      <w:tblGrid>
        <w:gridCol w:w="100"/>
        <w:gridCol w:w="100"/>
      </w:tblGrid>
      <w:tr>
        <w:tc>
          <w:tcPr>
            <w:tcW w:type="pct" w:w="28%"/>
            <w:shd w:fill="EAF3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Document No.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SOP-MSS-01</w:t>
            </w:r>
          </w:p>
        </w:tc>
      </w:tr>
      <w:tr>
        <w:tc>
          <w:tcPr>
            <w:tcW w:type="pct" w:w="28%"/>
            <w:shd w:fill="EAF3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Revision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1.0   ·   Effective 2026-07-30</w:t>
            </w:r>
          </w:p>
        </w:tc>
      </w:tr>
      <w:tr>
        <w:tc>
          <w:tcPr>
            <w:tcW w:type="pct" w:w="28%"/>
            <w:shd w:fill="EAF3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Approved by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Mike Krail — Owner / PCQI</w:t>
            </w:r>
          </w:p>
        </w:tc>
      </w:tr>
      <w:tr>
        <w:tc>
          <w:tcPr>
            <w:tcW w:type="pct" w:w="28%"/>
            <w:shd w:fill="EAF3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Review frequency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20"/>
                <w:szCs w:val="20"/>
              </w:rPr>
              <w:t xml:space="preserve">Annual, or on process/regulatory change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To define the scheduled cleaning of all equipment, utensils, and facility areas beyond routine pre-operational cleaning, so that food-contact and non-food-contact surfaces are maintained in a sanitary condition and cross-contamination / allergen carryover is controlled.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2. Scope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Applies to all production equipment, tanks, fillers, seamers, conveyors, floors, drains, walls, overheads, and support areas at the Palmetto facility.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3. Definitions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MSS — the master list of periodic (weekly/monthly/quarterly) cleaning tasks with assigned frequency, responsibility, and 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Pre-op — the daily pre-operational sanitation verified before startup (see register GMP-PREOP-001); the MSS covers the deeper periodic tasks.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4. Responsibilities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Sanitation lead — executes scheduled tasks, initials completion, flags anything needing maintenance.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PCQI / owner — verifies completion (visual/ATP as applicable), signs off, and reschedules missed tasks.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Maintain the Master Sanitation Schedule (grid below) listing each area/equipment, cleaning method &amp; chemical, and frequency.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Perform each task on its due date; initial and date the schedule on completion.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Verify effectiveness by visual inspection, and by ATP/swab for food-contact surfaces where required.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missed or failed task is rescheduled immediately and, if it affects a startup, the affected line is not run until pre-op passes.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chemical concentrations/titrations where applicable.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Monitoring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Each task monitored on its scheduled frequency; pre-op verification (GMP-PREOP-001) confirms readiness daily before startup.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Acceptance criteria / limits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All scheduled tasks completed by due date; food-contact verification passes (visual and, where used, ATP ≤ site limit).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Corrective 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Missed task: complete as soon as identified, record, and reschedule; assess whether any product was made on an unclean 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Failed verification: re-clean and re-verify before use; open a CAPA if recurring.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Verification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PCQI reviews the completed MSS weekly for completeness; ATP/swab records reviewed against limits. Records retained ≥ 3 years.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Master Sanitation Schedule grid (herein / CRM CIP logs).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Pre-Operational Sanitation Verification (GMP-PREOP-001).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ATP / environmental swab results; chemical titration records.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21 CFR 117 Subpart B (CGMP) — sanitation.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SQF Food Safety Code — cleaning and sanitation.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Log template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C78"/>
          <w:sz w:val="21"/>
          <w:szCs w:val="21"/>
        </w:rPr>
        <w:t xml:space="preserve">Blank template shown below; the CRM Daily GMP module captures the same fields digitally (one entry fans out to every register).</w:t>
      </w:r>
    </w:p>
    <w:tbl>
      <w:tblPr>
        <w:tblW w:type="pct" w:w="100%"/>
        <w:tblBorders>
          <w:top w:val="single" w:color="B7C4C0" w:sz="4"/>
          <w:left w:val="single" w:color="B7C4C0" w:sz="4"/>
          <w:bottom w:val="single" w:color="B7C4C0" w:sz="4"/>
          <w:right w:val="single" w:color="B7C4C0" w:sz="4"/>
          <w:insideH w:val="single" w:color="B7C4C0" w:sz="4"/>
          <w:insideV w:val="single" w:color="B7C4C0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 / Equipment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Cleaning method &amp; chemical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Done (init/date)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Verified (PCQI)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B7C4C0" w:sz="4"/>
          <w:left w:val="single" w:color="B7C4C0" w:sz="4"/>
          <w:bottom w:val="single" w:color="B7C4C0" w:sz="4"/>
          <w:right w:val="single" w:color="B7C4C0" w:sz="4"/>
          <w:insideH w:val="single" w:color="B7C4C0" w:sz="4"/>
          <w:insideV w:val="single" w:color="B7C4C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2026-07-30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Initial issue — closes SQF documented-program gap.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MK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6B7C78"/>
        <w:sz w:val="15"/>
        <w:szCs w:val="15"/>
      </w:rPr>
      <w:t xml:space="preserve">Controlled document — verify revision before use.  2011 51st Ave E, Unit 100, Palmetto, FL 34221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0F6E56"/>
        <w:sz w:val="16"/>
        <w:szCs w:val="16"/>
      </w:rPr>
      <w:t xml:space="preserve">GOOD LIQUID BEV CO  ·  Food Safety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GMP / SQF SOP Supplement</dc:title>
  <dc:creator>GOOD LIQUID BEV CO</dc:creator>
  <cp:lastModifiedBy>Un-named</cp:lastModifiedBy>
  <cp:revision>1</cp:revision>
  <dcterms:created xsi:type="dcterms:W3CDTF">2026-07-30T13:14:16.033Z</dcterms:created>
  <dcterms:modified xsi:type="dcterms:W3CDTF">2026-07-30T13:14:16.038Z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