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0F6E56"/>
          <w:sz w:val="46"/>
          <w:szCs w:val="46"/>
        </w:rPr>
        <w:t xml:space="preserve">GOOD LIQUID BEV CO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A37"/>
          <w:sz w:val="28"/>
          <w:szCs w:val="28"/>
        </w:rPr>
        <w:t xml:space="preserve">Low-Acid Canned Foods (LACF) &amp; Acidified Foods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7C78"/>
          <w:sz w:val="21"/>
          <w:szCs w:val="21"/>
        </w:rPr>
        <w:t xml:space="preserve">Regulatory Compliance Guide — 21 CFR Parts 108, 113 &amp; 114</w:t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6B7C78"/>
          <w:sz w:val="18"/>
          <w:szCs w:val="18"/>
        </w:rPr>
        <w:t xml:space="preserve">Revision 1.0  ·  2026-07-30  ·  2011 51st Ave E, Unit 100, Palmetto, FL 34221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Why this matters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If Good Liquid Bev Co produces any product in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hermetically sealed container</w:t>
      </w:r>
      <w:r>
        <w:rPr>
          <w:rFonts w:ascii="Calibri" w:cs="Calibri" w:eastAsia="Calibri" w:hAnsi="Calibri"/>
          <w:sz w:val="21"/>
          <w:szCs w:val="21"/>
        </w:rPr>
        <w:t xml:space="preserve"> (a sealed can or bottle) that is either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low-acid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acidified</w:t>
      </w:r>
      <w:r>
        <w:rPr>
          <w:rFonts w:ascii="Calibri" w:cs="Calibri" w:eastAsia="Calibri" w:hAnsi="Calibri"/>
          <w:sz w:val="21"/>
          <w:szCs w:val="21"/>
        </w:rPr>
        <w:t xml:space="preserve">, the product falls under FDA’s mandatory LACF/acidified-foods program. These rules are among the few FDA requirements enforced through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emergency-permit</w:t>
      </w:r>
      <w:r>
        <w:rPr>
          <w:rFonts w:ascii="Calibri" w:cs="Calibri" w:eastAsia="Calibri" w:hAnsi="Calibri"/>
          <w:sz w:val="21"/>
          <w:szCs w:val="21"/>
        </w:rPr>
        <w:t xml:space="preserve"> mechanism (21 CFR 108): produce without the required registrations and filings and FDA can require a permit to ship at all. This guide lays out — in order — exactly what must be in place before and during production.</w:t>
      </w:r>
    </w:p>
    <w:tbl>
      <w:tblPr>
        <w:tblW w:type="pct" w:w="100%"/>
        <w:tblBorders>
          <w:top w:val="single" w:color="0F6E56" w:sz="4"/>
          <w:left w:val="single" w:color="0F6E56" w:sz="18"/>
          <w:bottom w:val="single" w:color="0F6E56" w:sz="4"/>
          <w:right w:val="single" w:color="0F6E5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B00"/>
                <w:sz w:val="21"/>
                <w:szCs w:val="21"/>
              </w:rPr>
              <w:t xml:space="preserve">Bottom line: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you need (1) a Process Authority letter, (2) an FCE registration, (3) a filed scheduled process (SID) for each product/container, (4) at least one Better Process Control School–certified supervisor per shift, and (5) the process/closure/deviation records — before commercial production.</w:t>
            </w:r>
          </w:p>
        </w:tc>
      </w:tr>
    </w:tbl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1. Which rule applies to your product?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Classify every product before you make it. The key variables are finished-equilibrium pH, water activity (aw), whether the container is hermetically sealed, and whether acid is added to a low-acid base.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58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pct" w:w="20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Low-acid canned food (LACF)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Finished equilibrium pH &gt; 4.6 AND aw &gt; 0.85, in a hermetically sealed container, needing a thermal process for shelf stability (e.g., a low-acid RTD, protein/oat beverage, coffee, coconut water).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21 CFR 113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Acidified food (AF)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 low-acid food to which acid/acid foods are ADDED to reach a finished equilibrium pH ≤ 4.6 and aw &gt; 0.85 (e.g., a lightly acidified tea, aguas frescas, some flavored/functional waters, dressings, brines).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21 CFR 114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Acid food (natural)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Naturally has pH ≤ 4.6 without added acid (e.g., most 100% fruit juices, many sodas). NOT “acidified,” so Part 114 filing does not apply — but juice may fall under Juice HACCP (21 CFR 120).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Not 113/114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Emergency permit control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The registration + filing framework and enforcement backstop that applies to BOTH LACF and acidified foods.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21 CFR 108</w:t>
            </w:r>
          </w:p>
        </w:tc>
      </w:tr>
    </w:tbl>
    <w:tbl>
      <w:tblPr>
        <w:tblW w:type="pct" w:w="100%"/>
        <w:tblBorders>
          <w:top w:val="single" w:color="0F6E56" w:sz="4"/>
          <w:left w:val="single" w:color="0F6E56" w:sz="18"/>
          <w:bottom w:val="single" w:color="0F6E56" w:sz="4"/>
          <w:right w:val="single" w:color="0F6E56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3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A6B00"/>
                <w:sz w:val="21"/>
                <w:szCs w:val="21"/>
              </w:rPr>
              <w:t xml:space="preserve">Beverage trap: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seltzer, tea, or “functional water” that starts low-acid and is dosed with citric/malic/phosphoric acid to pH ≤ 4.6 is an ACIDIFIED food under Part 114 — even though it tastes mild. Carbonation and flavor do not exempt it. When in doubt, have the Process Authority classify it in writing.</w:t>
            </w:r>
          </w:p>
        </w:tc>
      </w:tr>
    </w:tbl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2. The mandatory steps, in order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Step 1 — Get a scheduled process from a Process Authority (before anything else)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Process Authority (PA) is a person or organization with expert knowledge of thermal processing / acidification who establishes and documents your “scheduled process” — the exact conditions (time, temperature, pH, aw, formulation, container, fill) that render the product safe and shelf-stable.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Send the PA your formulation, pH/aw data, container, and process. They issue a signed scheduled-process letter with critical factors and limits.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MUST have this letter on file before commercial production and before you can file the process with FDA. Keep it in the food-safety records.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Common PAs: university extension food-science labs (e.g., a state land-grant university), or private firms. Ask for one experienced in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acidified beverages</w:t>
      </w:r>
      <w:r>
        <w:rPr>
          <w:rFonts w:ascii="Calibri" w:cs="Calibri" w:eastAsia="Calibri" w:hAnsi="Calibri"/>
          <w:sz w:val="21"/>
          <w:szCs w:val="21"/>
        </w:rPr>
        <w:t xml:space="preserve"> if that’s your product.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Step 2 — Register the establishment (get your FCE number)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FDA Form 2541 — Food Canning Establishment (FCE) Registration</w:t>
      </w:r>
      <w:r>
        <w:rPr>
          <w:rFonts w:ascii="Calibri" w:cs="Calibri" w:eastAsia="Calibri" w:hAnsi="Calibri"/>
          <w:sz w:val="21"/>
          <w:szCs w:val="21"/>
        </w:rPr>
        <w:t xml:space="preserve">. Filed once per physical establishment; you receive an FCE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Submit electronically through FDA’s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FURLS</w:t>
      </w:r>
      <w:r>
        <w:rPr>
          <w:rFonts w:ascii="Calibri" w:cs="Calibri" w:eastAsia="Calibri" w:hAnsi="Calibri"/>
          <w:sz w:val="21"/>
          <w:szCs w:val="21"/>
        </w:rPr>
        <w:t xml:space="preserve"> (FDA Unified Registration and Listing System) LACF/AF module. This is separate from — and in addition to — your general FSMA food-facility registration.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Step 3 — File a scheduled process for each product/container (get your SIDs)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every distinct product + container + process, file the scheduled process electronically. FDA issues a Submission Identifier (SID) per filing. Use the form that matches your method: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pct" w:w="40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pct" w:w="46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2541d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Acidified method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Acidified beverages/foods to pH ≤ 4.6 (Part 114).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2541e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Water activity / formulation control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Shelf-stable by aw or formulation.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2541f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Low-acid aseptic systems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Aseptically processed &amp; packaged LACF.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2541g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Low-acid retort / other</w:t>
            </w:r>
          </w:p>
        </w:tc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Retorted low-acid canned foods (Part 113).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within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 working days</w:t>
      </w:r>
      <w:r>
        <w:rPr>
          <w:rFonts w:ascii="Calibri" w:cs="Calibri" w:eastAsia="Calibri" w:hAnsi="Calibri"/>
          <w:sz w:val="21"/>
          <w:szCs w:val="21"/>
        </w:rPr>
        <w:t xml:space="preserve"> of first production (acidified) — ideally file before you ship. Keep the SID confirmations with the scheduled-process letters.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Step 4 — Better Process Control School (BPCS) certification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 21 CFR 108.25(f) / 108.35(g), operations must be supervised by someone who has completed an FDA-recognized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Better Process Control School</w:t>
      </w:r>
      <w:r>
        <w:rPr>
          <w:rFonts w:ascii="Calibri" w:cs="Calibri" w:eastAsia="Calibri" w:hAnsi="Calibri"/>
          <w:sz w:val="21"/>
          <w:szCs w:val="21"/>
        </w:rPr>
        <w:t xml:space="preserve"> for the relevant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least one certified supervisor must be on site per shift, certified for the specific process type you run (acidification and/or container closure for sealed containers; thermal processing/retort if applicable).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BPCS is a multi-day course offered by universities/industry. Certify a primary and a backup so a shift is never uncovered. File the certificates in the records.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Step 5 — Records, monitoring &amp; container closure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processing records</w:t>
      </w:r>
      <w:r>
        <w:rPr>
          <w:rFonts w:ascii="Calibri" w:cs="Calibri" w:eastAsia="Calibri" w:hAnsi="Calibri"/>
          <w:sz w:val="21"/>
          <w:szCs w:val="21"/>
        </w:rPr>
        <w:t xml:space="preserve"> for every batch: pH (acidified), thermal-process time/temperature (LACF), aw, and the critical factors from the scheduled process. Your CRM CCP-Pasteurizer register captures the thermal CCP.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container-closure records</w:t>
      </w:r>
      <w:r>
        <w:rPr>
          <w:rFonts w:ascii="Calibri" w:cs="Calibri" w:eastAsia="Calibri" w:hAnsi="Calibri"/>
          <w:sz w:val="21"/>
          <w:szCs w:val="21"/>
        </w:rPr>
        <w:t xml:space="preserve"> — for sealed cans, the double-seam inspection/teardown log (SOP-DS-01 / CRM GMP-SEAM-001). For bottles, cap torque/seal integrity.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every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deviation</w:t>
      </w:r>
      <w:r>
        <w:rPr>
          <w:rFonts w:ascii="Calibri" w:cs="Calibri" w:eastAsia="Calibri" w:hAnsi="Calibri"/>
          <w:sz w:val="21"/>
          <w:szCs w:val="21"/>
        </w:rPr>
        <w:t xml:space="preserve"> (out-of-limit pH, under-processed lot, seam defect) and its disposition; hold affected product until a PA or PCQI clears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Retain records at least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years</w:t>
      </w:r>
      <w:r>
        <w:rPr>
          <w:rFonts w:ascii="Calibri" w:cs="Calibri" w:eastAsia="Calibri" w:hAnsi="Calibri"/>
          <w:sz w:val="21"/>
          <w:szCs w:val="21"/>
        </w:rPr>
        <w:t xml:space="preserve"> (longer if a customer or state requires it) and make them available to FDA on inspection.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3. Related obligations (don’t forget these)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FDA food-facility registration (biennial) </w:t>
      </w:r>
      <w:r>
        <w:rPr>
          <w:rFonts w:ascii="Calibri" w:cs="Calibri" w:eastAsia="Calibri" w:hAnsi="Calibri"/>
          <w:sz w:val="21"/>
          <w:szCs w:val="21"/>
        </w:rPr>
        <w:t xml:space="preserve">under the Bioterrorism Act / FSMA — separate from the FCE registration.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CGMPs — 21 CFR 117 Subpart B </w:t>
      </w:r>
      <w:r>
        <w:rPr>
          <w:rFonts w:ascii="Calibri" w:cs="Calibri" w:eastAsia="Calibri" w:hAnsi="Calibri"/>
          <w:sz w:val="21"/>
          <w:szCs w:val="21"/>
        </w:rPr>
        <w:t xml:space="preserve">apply to your facility regardless. Note: products fully covered by 113/114 for their microbiological hazards are largely exempt from the 117 Preventive-Controls (Subpart C) requirements for those hazards, but not from CGMPs or from controlling other hazards (e.g., allergens, chemical).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Juice HACCP (21 CFR 120) </w:t>
      </w:r>
      <w:r>
        <w:rPr>
          <w:rFonts w:ascii="Calibri" w:cs="Calibri" w:eastAsia="Calibri" w:hAnsi="Calibri"/>
          <w:sz w:val="21"/>
          <w:szCs w:val="21"/>
        </w:rPr>
        <w:t xml:space="preserve">if you make juice/juice beverages — a distinct requirement from 113/114.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Florida FDACS food permit </w:t>
      </w:r>
      <w:r>
        <w:rPr>
          <w:rFonts w:ascii="Calibri" w:cs="Calibri" w:eastAsia="Calibri" w:hAnsi="Calibri"/>
          <w:sz w:val="21"/>
          <w:szCs w:val="21"/>
        </w:rPr>
        <w:t xml:space="preserve">— a Florida Food Establishment permit from the Dept. of Agriculture &amp; Consumer Services is required to operate in-state, with routine inspection.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Labeling (21 CFR 101 / FALCPA) </w:t>
      </w:r>
      <w:r>
        <w:rPr>
          <w:rFonts w:ascii="Calibri" w:cs="Calibri" w:eastAsia="Calibri" w:hAnsi="Calibri"/>
          <w:sz w:val="21"/>
          <w:szCs w:val="21"/>
        </w:rPr>
        <w:t xml:space="preserve">— net contents, ingredient &amp; allergen statements, and lot/date coding tie into your Label Control SOP (SOP-LC-01).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Recall / traceability readiness </w:t>
      </w:r>
      <w:r>
        <w:rPr>
          <w:rFonts w:ascii="Calibri" w:cs="Calibri" w:eastAsia="Calibri" w:hAnsi="Calibri"/>
          <w:sz w:val="21"/>
          <w:szCs w:val="21"/>
        </w:rPr>
        <w:t xml:space="preserve">— be able to trace any lot forward and back, and execute a mock recall.</w:t>
      </w:r>
    </w:p>
    <w:p>
      <w:pPr>
        <w:pStyle w:val="Heading1"/>
        <w:spacing w:after="110" w:before="260"/>
      </w:pPr>
      <w:r>
        <w:rPr>
          <w:rFonts w:ascii="Calibri" w:cs="Calibri" w:eastAsia="Calibri" w:hAnsi="Calibri"/>
          <w:b/>
          <w:bCs/>
          <w:color w:val="0F6E56"/>
          <w:sz w:val="30"/>
          <w:szCs w:val="30"/>
        </w:rPr>
        <w:t xml:space="preserve">4. Action checklist for Good Liquid Bev Co</w:t>
      </w:r>
    </w:p>
    <w:tbl>
      <w:tblPr>
        <w:tblW w:type="pct" w:w="100%"/>
        <w:tblBorders>
          <w:top w:val="single" w:color="B7C4C0" w:sz="4"/>
          <w:left w:val="single" w:color="B7C4C0" w:sz="4"/>
          <w:bottom w:val="single" w:color="B7C4C0" w:sz="4"/>
          <w:right w:val="single" w:color="B7C4C0" w:sz="4"/>
          <w:insideH w:val="single" w:color="B7C4C0" w:sz="4"/>
          <w:insideV w:val="single" w:color="B7C4C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62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shd w:fill="0F6E5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1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Classify each product (LACF / acidified / acid) with pH &amp; aw data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 + PA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2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Engage a Process Authority; obtain signed scheduled-process letters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3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Register establishment — FDA Form 2541 (FCE #) via FURLS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4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File scheduled processes — 2541d/e/f/g (SID per product/container)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5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Certify ≥1 supervisor/shift at Better Process Control School (+ backup)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6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Stand up batch process records, pH/thermal monitoring, seam/closure logs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7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Deviation, hold &amp; disposition procedure with PA on call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8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Confirm FDA facility registration + FDACS FL permit current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9</w:t>
            </w:r>
          </w:p>
        </w:tc>
        <w:tc>
          <w:tcPr>
            <w:tcW w:type="pct" w:w="6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Retain all records ≥ 3 years; run a mock recall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PCQI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7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F2A37"/>
          <w:sz w:val="24"/>
          <w:szCs w:val="24"/>
        </w:rPr>
        <w:t xml:space="preserve">How this ties into your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CCP Pasteurizer register (GMP-CCP-PAST-001) — the thermal-process CCP monitoring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Double-Seam Inspection (GMP-SEAM-001) + SOP-DS-01 — the container-closure record for sealed cans.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Pre-Op, Hygiene, Receiving, Label registers — the CGMP and traceability backbone.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Auditor portal (auditor.html) — gives an FDA/FDACS/SQF reviewer read-only access to all of the above.</w:t>
      </w:r>
    </w:p>
    <w:p>
      <w:pPr>
        <w:spacing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Disclaimer: </w:t>
      </w:r>
      <w:r>
        <w:rPr>
          <w:rFonts w:ascii="Calibri" w:cs="Calibri" w:eastAsia="Calibri" w:hAnsi="Calibri"/>
          <w:i/>
          <w:iCs/>
          <w:color w:val="6B7C78"/>
          <w:sz w:val="21"/>
          <w:szCs w:val="21"/>
        </w:rPr>
        <w:t xml:space="preserve">This document is internal guidance to orient the team; it is not legal or regulatory advice. Regulations change and classification is fact-specific. Confirm your product’s classification, filings, and obligations with a qualified Process Authority and with FDA/FDACS before commercial production.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B7C78"/>
        <w:sz w:val="15"/>
        <w:szCs w:val="15"/>
      </w:rPr>
      <w:t xml:space="preserve">Internal guidance — not legal advice. Confirm applicability with your Process Authority and FDA. 2011 51st Ave E, Unit 100, Palmetto, FL 34221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0F6E56"/>
        <w:sz w:val="16"/>
        <w:szCs w:val="16"/>
      </w:rPr>
      <w:t xml:space="preserve">GOOD LIQUID BEV CO  ·  LACF / Acidified Foods Regulatory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LACF / Acidified Foods Regulatory Guide</dc:title>
  <dc:creator>GOOD LIQUID BEV CO</dc:creator>
  <cp:lastModifiedBy>Un-named</cp:lastModifiedBy>
  <cp:revision>1</cp:revision>
  <dcterms:created xsi:type="dcterms:W3CDTF">2026-07-30T13:16:49.651Z</dcterms:created>
  <dcterms:modified xsi:type="dcterms:W3CDTF">2026-07-30T13:16:49.651Z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