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de Negocio de Párchese Acapp</w:t>
      </w:r>
    </w:p>
    <w:p w:rsidR="00000000" w:rsidDel="00000000" w:rsidP="00000000" w:rsidRDefault="00000000" w:rsidRPr="00000000" w14:paraId="0000000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presente documento expone el modelo de negocio de Párchese Acapp, una plataforma digital diseñada para la gestión y promoción de eventos. Se analizan sus componentes clave, incluyendo la propuesta de valor, segmentos de clientes, canales de distribución, fuentes de ingresos, estructura de costos y socios clave, siguiendo el esquema del Business Model Canvas.</w:t>
      </w:r>
    </w:p>
    <w:p w:rsidR="00000000" w:rsidDel="00000000" w:rsidP="00000000" w:rsidRDefault="00000000" w:rsidRPr="00000000" w14:paraId="0000000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Palabras clave: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modelo de negocio, eventos, tecnología, aplicación móvil, organizadores de eventos.</w:t>
      </w:r>
    </w:p>
    <w:p w:rsidR="00000000" w:rsidDel="00000000" w:rsidP="00000000" w:rsidRDefault="00000000" w:rsidRPr="00000000" w14:paraId="00000004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un mundo altamente digitalizado, la organización y promoción de eventos han evolucionado significativamente. Párchese Acapp surge como una solución integral para conectar asistentes, organizadores y patrocinadores de eventos a través de una plataforma interactiva. Este documento presenta su modelo de negocio con base en el Business Model Canvas, abordando sus aspectos clave y su viabilidad económica.</w:t>
      </w:r>
    </w:p>
    <w:p w:rsidR="00000000" w:rsidDel="00000000" w:rsidP="00000000" w:rsidRDefault="00000000" w:rsidRPr="00000000" w14:paraId="00000005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Propuesta de Valor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Párchese Acapp ofrece soluciones innovadoras a tres segmentos principales: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Asistentes a eventos: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 la búsqueda personalizada de eventos según intereses y ubicación, con notificaciones y compra de boletos en línea.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Organizadores de eventos: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Facilita la gestión y promoción de eventos, con herramientas de análisis y segmentación de audiencia.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4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Aliados estratégicos: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Brinda espacios publicitarios y oportunidades de colaboración para patrocinadores y comerciantes relacionados.</w:t>
      </w:r>
    </w:p>
    <w:p w:rsidR="00000000" w:rsidDel="00000000" w:rsidP="00000000" w:rsidRDefault="00000000" w:rsidRPr="00000000" w14:paraId="00000009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Segmentos de Clientes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usuarios de la plataforma se dividen en tres categorías principales: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Público asistente: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Jóvenes y adultos interesados en actividades culturales, recreativas y profesionales.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Organizadores de eventos: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Empresas, promotores y entidades gubernamentales.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Aliados estratégicos: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Negocios y marcas que buscan promocionarse mediante eventos.</w:t>
      </w:r>
    </w:p>
    <w:p w:rsidR="00000000" w:rsidDel="00000000" w:rsidP="00000000" w:rsidRDefault="00000000" w:rsidRPr="00000000" w14:paraId="0000000D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Canales de Distribución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Párchese Acapp utiliza diversos canales para conectar con sus usuarios: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Aplicación móvil y web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Redes sociales (Instagram, Facebook, TikTok, Twitter, LinkedIn)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 marketing y notificaciones push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Alianzas con influencers y medios de comunicación</w:t>
      </w:r>
    </w:p>
    <w:p w:rsidR="00000000" w:rsidDel="00000000" w:rsidP="00000000" w:rsidRDefault="00000000" w:rsidRPr="00000000" w14:paraId="0000001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Fuentes de Ingreso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modelo de monetización de Párchese Acapp se basa en: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Publicidad y patrocinio</w:t>
      </w:r>
    </w:p>
    <w:p w:rsidR="00000000" w:rsidDel="00000000" w:rsidP="00000000" w:rsidRDefault="00000000" w:rsidRPr="00000000" w14:paraId="00000014">
      <w:pPr>
        <w:spacing w:after="240" w:before="240" w:line="48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Planes premium para organizadores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Monetización de datos anonimizados para análisis de mercado</w:t>
      </w:r>
    </w:p>
    <w:p w:rsidR="00000000" w:rsidDel="00000000" w:rsidP="00000000" w:rsidRDefault="00000000" w:rsidRPr="00000000" w14:paraId="00000017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Recursos Clave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su funcionamiento, la plataforma requiere: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Desarrollo tecnológico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Infraestructura de servidores y almacenamiento de datos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 de datos de eventos y usuarios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Estrategia de marketing digital</w:t>
      </w:r>
    </w:p>
    <w:p w:rsidR="00000000" w:rsidDel="00000000" w:rsidP="00000000" w:rsidRDefault="00000000" w:rsidRPr="00000000" w14:paraId="0000001C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 Clave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 principales actividades incluyen: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Desarrollo y mantenimiento de la plataforma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Promoción y crecimiento de la comunidad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Alianzas estratégicas con organizadores y patrocinadores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before="0" w:beforeAutospacing="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 al cliente y soporte técnico</w:t>
      </w:r>
    </w:p>
    <w:p w:rsidR="00000000" w:rsidDel="00000000" w:rsidP="00000000" w:rsidRDefault="00000000" w:rsidRPr="00000000" w14:paraId="00000021">
      <w:pPr>
        <w:spacing w:after="240" w:before="240" w:line="480" w:lineRule="auto"/>
        <w:rPr/>
      </w:pPr>
      <w:r w:rsidDel="00000000" w:rsidR="00000000" w:rsidRPr="00000000">
        <w:rPr>
          <w:b w:val="1"/>
          <w:rtl w:val="0"/>
        </w:rPr>
        <w:t xml:space="preserve">Socios Clave</w:t>
      </w:r>
      <w:r w:rsidDel="00000000" w:rsidR="00000000" w:rsidRPr="00000000">
        <w:rPr>
          <w:rtl w:val="0"/>
        </w:rPr>
        <w:t xml:space="preserve"> Los aliados estratégicos son esenciales para el crecimiento de la plataforma: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Organizadores de eventos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Medios de comunicación e influencers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Pasarelas de pago</w:t>
      </w:r>
    </w:p>
    <w:p w:rsidR="00000000" w:rsidDel="00000000" w:rsidP="00000000" w:rsidRDefault="00000000" w:rsidRPr="00000000" w14:paraId="00000025">
      <w:pPr>
        <w:spacing w:after="240" w:before="240" w:line="480" w:lineRule="auto"/>
        <w:rPr/>
      </w:pPr>
      <w:r w:rsidDel="00000000" w:rsidR="00000000" w:rsidRPr="00000000">
        <w:rPr>
          <w:b w:val="1"/>
          <w:rtl w:val="0"/>
        </w:rPr>
        <w:t xml:space="preserve">Estructura de Costos</w:t>
      </w:r>
      <w:r w:rsidDel="00000000" w:rsidR="00000000" w:rsidRPr="00000000">
        <w:rPr>
          <w:rtl w:val="0"/>
        </w:rPr>
        <w:t xml:space="preserve"> Los principales costos operativos incluyen: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 tecnológico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 y publicidad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Soporte técnico y servicio al cliente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Infraestructura de servidores y seguridad de datos</w:t>
      </w:r>
    </w:p>
    <w:p w:rsidR="00000000" w:rsidDel="00000000" w:rsidP="00000000" w:rsidRDefault="00000000" w:rsidRPr="00000000" w14:paraId="0000002A">
      <w:pPr>
        <w:spacing w:after="240" w:before="240" w:line="480" w:lineRule="auto"/>
        <w:rPr/>
      </w:pPr>
      <w:r w:rsidDel="00000000" w:rsidR="00000000" w:rsidRPr="00000000">
        <w:rPr>
          <w:b w:val="1"/>
          <w:rtl w:val="0"/>
        </w:rPr>
        <w:t xml:space="preserve">Conclusiones</w:t>
      </w:r>
      <w:r w:rsidDel="00000000" w:rsidR="00000000" w:rsidRPr="00000000">
        <w:rPr>
          <w:rtl w:val="0"/>
        </w:rPr>
        <w:t xml:space="preserve"> Párchese Acapp presenta un modelo de negocio sólido y escalable, con un enfoque en la digitalización de la experiencia de eventos. Su propuesta de valor se centra en la optimización de la gestión de eventos, la conexión con asistentes y la generación de ingresos a través de diversas fuentes. La implementación efectiva de este modelo permitirá su consolidación en el mercado de la organización de eventos.</w:t>
      </w:r>
    </w:p>
    <w:p w:rsidR="00000000" w:rsidDel="00000000" w:rsidP="00000000" w:rsidRDefault="00000000" w:rsidRPr="00000000" w14:paraId="0000002B">
      <w:pPr>
        <w:spacing w:after="240" w:before="240" w:line="480" w:lineRule="auto"/>
        <w:rPr/>
      </w:pPr>
      <w:r w:rsidDel="00000000" w:rsidR="00000000" w:rsidRPr="00000000">
        <w:rPr>
          <w:b w:val="1"/>
          <w:rtl w:val="0"/>
        </w:rPr>
        <w:t xml:space="preserve">Referencias</w:t>
      </w:r>
      <w:r w:rsidDel="00000000" w:rsidR="00000000" w:rsidRPr="00000000">
        <w:rPr>
          <w:rtl w:val="0"/>
        </w:rPr>
        <w:t xml:space="preserve"> Osterwalder, A., &amp; Pigneur, Y. (2010). </w:t>
      </w:r>
      <w:r w:rsidDel="00000000" w:rsidR="00000000" w:rsidRPr="00000000">
        <w:rPr>
          <w:i w:val="1"/>
          <w:rtl w:val="0"/>
        </w:rPr>
        <w:t xml:space="preserve">Business Model Generation: A Handbook for Visionaries, Game Changers, and Challengers</w:t>
      </w:r>
      <w:r w:rsidDel="00000000" w:rsidR="00000000" w:rsidRPr="00000000">
        <w:rPr>
          <w:rtl w:val="0"/>
        </w:rPr>
        <w:t xml:space="preserve">. John Wiley &amp; Sons.</w:t>
      </w:r>
    </w:p>
    <w:p w:rsidR="00000000" w:rsidDel="00000000" w:rsidP="00000000" w:rsidRDefault="00000000" w:rsidRPr="00000000" w14:paraId="0000002C">
      <w:pPr>
        <w:spacing w:lin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