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26"/>
        </w:rPr>
        <w:t>Milestone 1</w:t>
        <w:br/>
      </w:r>
    </w:p>
    <w:p>
      <w:pPr>
        <w:pStyle w:val="Heading1"/>
        <w:rPr/>
      </w:pPr>
      <w:r>
        <w:rPr/>
        <w:t>1. Problem Statement</w:t>
      </w:r>
    </w:p>
    <w:p>
      <w:pPr>
        <w:pStyle w:val="Heading2"/>
        <w:rPr/>
      </w:pPr>
      <w:r>
        <w:rPr/>
        <w:t>1.1 Task Definition, Target User, and Success Criteria</w:t>
      </w:r>
    </w:p>
    <w:p>
      <w:pPr>
        <w:pStyle w:val="Normal"/>
        <w:spacing w:lineRule="exact" w:line="280" w:before="0" w:after="120"/>
        <w:rPr/>
      </w:pPr>
      <w:r>
        <w:rPr>
          <w:sz w:val="20"/>
        </w:rPr>
        <w:t xml:space="preserve">This project builds a multi-label classification system that categorizes API function calls from deep learning frameworks (TensorFlow, PyTorch, JAX) by their system-level behavior. The </w:t>
      </w:r>
      <w:r>
        <w:rPr>
          <w:b/>
          <w:sz w:val="20"/>
        </w:rPr>
        <w:t>input</w:t>
      </w:r>
      <w:r>
        <w:rPr>
          <w:sz w:val="20"/>
        </w:rPr>
        <w:t xml:space="preserve"> is a code context snippet surrounding an API call (e.g., gen_rpc_ops.rpc_call(client, payload, args, timeout)), including import statements, variable assignments, and the call expression itself. The </w:t>
      </w:r>
      <w:r>
        <w:rPr>
          <w:b/>
          <w:sz w:val="20"/>
        </w:rPr>
        <w:t>output</w:t>
      </w:r>
      <w:r>
        <w:rPr>
          <w:sz w:val="20"/>
        </w:rPr>
        <w:t xml:space="preserve"> is a 5-dimensional binary vector indicating which behavioral categories the call exhibits: file access, network access, process management, pure calculation, or code execution. A single API call can belong to multiple categories simultaneously; for example, torch.distributed.all_reduce() is both network access and pure calculation.</w:t>
      </w:r>
    </w:p>
    <w:p>
      <w:pPr>
        <w:pStyle w:val="Normal"/>
        <w:spacing w:lineRule="exact" w:line="280" w:before="0" w:after="120"/>
        <w:rPr/>
      </w:pPr>
      <w:r>
        <w:rPr>
          <w:sz w:val="20"/>
        </w:rPr>
        <w:t xml:space="preserve">The </w:t>
      </w:r>
      <w:r>
        <w:rPr>
          <w:b/>
          <w:sz w:val="20"/>
        </w:rPr>
        <w:t>target users</w:t>
      </w:r>
      <w:r>
        <w:rPr>
          <w:sz w:val="20"/>
        </w:rPr>
        <w:t xml:space="preserve"> are systems engineers and security analysts who need to audit, sandbox, or monitor deep learning pipelines at the API level. The system supports decisions such as: which API calls require network permissions in a containerized environment, which calls perform file I/O and need filesystem access, and which calls execute arbitrary user code and pose sandboxing risks. This enables automated permission assignment for ML workloads in production systems.</w:t>
      </w:r>
    </w:p>
    <w:p>
      <w:pPr>
        <w:pStyle w:val="Normal"/>
        <w:spacing w:lineRule="exact" w:line="280" w:before="0" w:after="120"/>
        <w:rPr/>
      </w:pPr>
      <w:r>
        <w:rPr>
          <w:b/>
          <w:sz w:val="20"/>
        </w:rPr>
        <w:t>Success criteria</w:t>
      </w:r>
      <w:r>
        <w:rPr>
          <w:sz w:val="20"/>
        </w:rPr>
        <w:t>: The system must achieve strong per-label performance across all five categories, including rare ones like process management. We evaluate using per-label precision, recall, and F1 score, macro-averaged F1 (to ensure no label is ignored), exact match ratio (fraction of samples where all 5 labels are predicted correctly), and Hamming loss (fraction of individual label predictions that are wrong). A macro F1 above 0.90 and exact match above 0.85 would indicate production-ready performance.</w:t>
      </w:r>
    </w:p>
    <w:p>
      <w:pPr>
        <w:pStyle w:val="Heading2"/>
        <w:rPr/>
      </w:pPr>
      <w:r>
        <w:rPr/>
        <w:t>1.2 Implications for Data Selection</w:t>
      </w:r>
    </w:p>
    <w:p>
      <w:pPr>
        <w:pStyle w:val="Normal"/>
        <w:spacing w:lineRule="exact" w:line="280" w:before="0" w:after="120"/>
        <w:rPr/>
      </w:pPr>
      <w:r>
        <w:rPr>
          <w:b/>
          <w:sz w:val="20"/>
        </w:rPr>
        <w:t>Dataset choice constraints:</w:t>
      </w:r>
      <w:r>
        <w:rPr>
          <w:sz w:val="20"/>
        </w:rPr>
        <w:t xml:space="preserve"> The most binding constraint was the need for deeply-qualified API paths (e.g., tensorflow.distribute.experimental.rpc.kernels.gen_rpc_ops.rpc_client) rather than shallow public API usage. Public code on GitHub and Kaggle predominantly uses high-level APIs (tf.keras.layers.Dense), which lack the internal, deep-level calls needed to distinguish fine-grained system behaviors. This forced us to extract data from the framework source repositories themselves, where test files and internal implementations exercise the deepest APIs.</w:t>
      </w:r>
    </w:p>
    <w:p>
      <w:pPr>
        <w:pStyle w:val="Normal"/>
        <w:spacing w:lineRule="exact" w:line="280" w:before="0" w:after="120"/>
        <w:rPr/>
      </w:pPr>
      <w:r>
        <w:rPr>
          <w:b/>
          <w:sz w:val="20"/>
        </w:rPr>
        <w:t>Sampling/splitting constraints:</w:t>
      </w:r>
      <w:r>
        <w:rPr>
          <w:sz w:val="20"/>
        </w:rPr>
        <w:t xml:space="preserve"> The extreme class imbalance (pure calculation dominates at 87.2% before balancing, based on our preprocessing log showing 366,002 of 419,702 records) required stratified splitting by primary label, undersampling of the dominant class, and quarantining synthetic/oversampled data to the training set only. Validation and test sets contain only real, unaugmented records.</w:t>
      </w:r>
    </w:p>
    <w:p>
      <w:pPr>
        <w:pStyle w:val="Normal"/>
        <w:spacing w:lineRule="exact" w:line="280" w:before="0" w:after="120"/>
        <w:rPr/>
      </w:pPr>
      <w:r>
        <w:rPr>
          <w:b/>
          <w:sz w:val="20"/>
        </w:rPr>
        <w:t>Feature engineering constraints:</w:t>
      </w:r>
      <w:r>
        <w:rPr>
          <w:sz w:val="20"/>
        </w:rPr>
        <w:t xml:space="preserve"> API call code is a character sequence with meaningful sub-word structure (e.g., gen_rpc contains three informative morphemes). This motivated a character-level tokenizer with code-aware normalization (number collapsing, whitespace normalization) rather than word-level tokenization, which would break these meaningful sub-tokens.</w:t>
      </w:r>
    </w:p>
    <w:p>
      <w:pPr>
        <w:pStyle w:val="Heading1"/>
        <w:rPr/>
      </w:pPr>
      <w:r>
        <w:rPr/>
        <w:t>2. Data Selection</w:t>
      </w:r>
    </w:p>
    <w:p>
      <w:pPr>
        <w:pStyle w:val="Heading2"/>
        <w:rPr/>
      </w:pPr>
      <w:r>
        <w:rPr/>
        <w:t>2.1 Datasets Used</w:t>
      </w:r>
    </w:p>
    <w:p>
      <w:pPr>
        <w:pStyle w:val="Normal"/>
        <w:spacing w:lineRule="exact" w:line="280" w:before="0" w:after="120"/>
        <w:rPr/>
      </w:pPr>
      <w:r>
        <w:rPr>
          <w:sz w:val="20"/>
        </w:rPr>
        <w:t>Data was extracted from three open-source deep learning framework repositories. No pre-existing labeled dataset for this task exists, so we built a custom extraction and labeling pipeline. All source repositories are permissively licensed.</w:t>
      </w:r>
    </w:p>
    <w:tbl>
      <w:tblPr>
        <w:tblStyle w:val="TableGrid"/>
        <w:tblW w:w="8640"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2160"/>
        <w:gridCol w:w="2160"/>
        <w:gridCol w:w="2160"/>
        <w:gridCol w:w="2160"/>
      </w:tblGrid>
      <w:tr>
        <w:trPr/>
        <w:tc>
          <w:tcPr>
            <w:tcW w:w="216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Source</w:t>
            </w:r>
          </w:p>
        </w:tc>
        <w:tc>
          <w:tcPr>
            <w:tcW w:w="216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License</w:t>
            </w:r>
          </w:p>
        </w:tc>
        <w:tc>
          <w:tcPr>
            <w:tcW w:w="216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Records</w:t>
            </w:r>
          </w:p>
        </w:tc>
        <w:tc>
          <w:tcPr>
            <w:tcW w:w="216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Key Contents</w:t>
            </w:r>
          </w:p>
        </w:tc>
      </w:tr>
      <w:tr>
        <w:trPr/>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TensorFlow repo</w:t>
              <w:br/>
              <w:t>(github.com/tensorflow)</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Apache 2.0</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130,475</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gen_*.py op wrappers, test files, internal implementations, distributed RPC ops</w:t>
            </w:r>
          </w:p>
        </w:tc>
      </w:tr>
      <w:tr>
        <w:trPr/>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PyTorch repo</w:t>
              <w:br/>
              <w:t>(github.com/pytorch)</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BSD-3</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213,102</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ATen ops via native_functions.yaml, test suite, distributed RPC, torch._C bindings</w:t>
            </w:r>
          </w:p>
        </w:tc>
      </w:tr>
      <w:tr>
        <w:trPr/>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JAX repo</w:t>
              <w:br/>
              <w:t>(github.com/jax-ml/jax)</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Apache 2.0</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76,125</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lax primitives, _src interpreters, XLA/MLIR lowering, distributed ops</w:t>
            </w:r>
          </w:p>
        </w:tc>
      </w:tr>
    </w:tbl>
    <w:p>
      <w:pPr>
        <w:pStyle w:val="Normal"/>
        <w:rPr/>
      </w:pPr>
      <w:r>
        <w:rPr/>
      </w:r>
    </w:p>
    <w:p>
      <w:pPr>
        <w:pStyle w:val="Normal"/>
        <w:spacing w:lineRule="exact" w:line="280" w:before="0" w:after="120"/>
        <w:rPr/>
      </w:pPr>
      <w:r>
        <w:rPr>
          <w:b/>
          <w:sz w:val="20"/>
        </w:rPr>
        <w:t>Collection method:</w:t>
      </w:r>
      <w:r>
        <w:rPr>
          <w:sz w:val="20"/>
        </w:rPr>
        <w:t xml:space="preserve"> A custom Python AST-based extractor (deep_api_extractor.py) parses every .py file in each repository. It tracks all import statements, resolves chained attribute access back to fully-qualified API paths, and extracts surrounding code context (3 lines before and after the call). Additionally, framework-specific registry extractors parse TensorFlow’s gen_*.py files (auto-generated op wrappers), PyTorch’s native_functions.yaml (the master ATen op registry), and JAX’s Primitive() registrations for complete op catalogs. Synthetic call variations were generated from these signatures to augment training data.</w:t>
      </w:r>
    </w:p>
    <w:p>
      <w:pPr>
        <w:pStyle w:val="Normal"/>
        <w:spacing w:lineRule="exact" w:line="280" w:before="0" w:after="120"/>
        <w:rPr/>
      </w:pPr>
      <w:r>
        <w:rPr>
          <w:b/>
          <w:sz w:val="20"/>
        </w:rPr>
        <w:t>Labeling:</w:t>
      </w:r>
      <w:r>
        <w:rPr>
          <w:sz w:val="20"/>
        </w:rPr>
        <w:t xml:space="preserve"> A three-layer labeling pipeline (api_behavior_labeler.py) assigns behavioral labels: Layer 1 uses rule-based pattern matching on API paths, argument names, and framework-specific semantics. Layer 2 analyzes function docstrings for behavioral keywords. Layer 3 flags low-confidence or conflicting records to a human review queue. A multi-label resolver enforces known co-occurrence patterns (e.g., rpc_call always receives [network_send, network_receive, code_execution]). The review queue contained 172,943 records, which were triaged into groups by (API prefix + label set) and reviewed via a custom interactive HTML interface.</w:t>
      </w:r>
    </w:p>
    <w:p>
      <w:pPr>
        <w:pStyle w:val="Normal"/>
        <w:spacing w:lineRule="exact" w:line="280" w:before="0" w:after="120"/>
        <w:rPr/>
      </w:pPr>
      <w:r>
        <w:rPr>
          <w:b/>
          <w:sz w:val="20"/>
        </w:rPr>
        <w:t>Alternatives considered:</w:t>
      </w:r>
      <w:r>
        <w:rPr>
          <w:sz w:val="20"/>
        </w:rPr>
        <w:t xml:space="preserve"> We evaluated using GitHub public repositories that import these frameworks, but they predominantly contain shallow API usage (tf.keras.*, torch.nn.*) and rarely exercise the deep internal APIs (gen_rpc_ops, torch.ops.aten) needed to distinguish system-level behaviors. Stack Overflow was also considered but contains mostly error-resolution snippets rather than representative API call patterns.</w:t>
      </w:r>
    </w:p>
    <w:p>
      <w:pPr>
        <w:pStyle w:val="Heading2"/>
        <w:rPr/>
      </w:pPr>
      <w:r>
        <w:rPr/>
        <w:t>2.2 Data Scope and Assumptions</w:t>
      </w:r>
    </w:p>
    <w:p>
      <w:pPr>
        <w:pStyle w:val="Normal"/>
        <w:spacing w:lineRule="exact" w:line="280" w:before="0" w:after="120"/>
        <w:rPr/>
      </w:pPr>
      <w:r>
        <w:rPr>
          <w:b/>
          <w:sz w:val="20"/>
        </w:rPr>
        <w:t>Key assumptions:</w:t>
      </w:r>
      <w:r>
        <w:rPr>
          <w:sz w:val="20"/>
        </w:rPr>
        <w:t xml:space="preserve"> (1) API function names and their surrounding code context carry sufficient signal to determine system-level behavior. (2) The framework source repositories provide representative usage patterns for each API. (3) The rule-based labeler, enhanced by docstring analysis and human review, produces sufficiently accurate labels for training. (4) Behavioral patterns transfer across frameworks — a matrix multiply is a matrix multiply whether in PyTorch or TensorFlow.</w:t>
      </w:r>
    </w:p>
    <w:p>
      <w:pPr>
        <w:pStyle w:val="Normal"/>
        <w:spacing w:lineRule="exact" w:line="280" w:before="0" w:after="120"/>
        <w:rPr/>
      </w:pPr>
      <w:r>
        <w:rPr>
          <w:b/>
          <w:sz w:val="20"/>
        </w:rPr>
        <w:t>Known limitations:</w:t>
      </w:r>
      <w:r>
        <w:rPr>
          <w:sz w:val="20"/>
        </w:rPr>
        <w:t xml:space="preserve"> (1) Coverage gap: some behaviors are context-dependent and not detectable from the call site alone (e.g., a function that conditionally writes to disk based on a runtime flag). (2) Labeling bias: the rule-based labeler has stronger rules for TensorFlow (due to the predictable gen_*_ops naming convention) than for JAX, potentially creating framework-dependent label quality. (3) Version specificity: data was extracted from current main branches; APIs deprecated or added in future versions are not covered. (4) Proxy labels: rule-based labels are proxies for actual runtime behavior. An API labeled as “file_access” based on its name might not perform I/O in all call configurations.</w:t>
      </w:r>
    </w:p>
    <w:p>
      <w:pPr>
        <w:pStyle w:val="Heading2"/>
        <w:rPr/>
      </w:pPr>
      <w:r>
        <w:rPr/>
        <w:t>2.3 Data Profiling</w:t>
      </w:r>
    </w:p>
    <w:p>
      <w:pPr>
        <w:pStyle w:val="Normal"/>
        <w:spacing w:lineRule="exact" w:line="280" w:before="0" w:after="120"/>
        <w:rPr/>
      </w:pPr>
      <w:r>
        <w:rPr>
          <w:b/>
          <w:sz w:val="20"/>
        </w:rPr>
        <w:t>Schema:</w:t>
      </w:r>
      <w:r>
        <w:rPr>
          <w:sz w:val="20"/>
        </w:rPr>
        <w:t xml:space="preserve"> Each record in the dataset contains the following fields:</w:t>
      </w:r>
    </w:p>
    <w:tbl>
      <w:tblPr>
        <w:tblStyle w:val="TableGrid"/>
        <w:tblW w:w="8640"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2880"/>
        <w:gridCol w:w="2880"/>
        <w:gridCol w:w="2880"/>
      </w:tblGrid>
      <w:tr>
        <w:trPr/>
        <w:tc>
          <w:tcPr>
            <w:tcW w:w="288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Field</w:t>
            </w:r>
          </w:p>
        </w:tc>
        <w:tc>
          <w:tcPr>
            <w:tcW w:w="288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Type</w:t>
            </w:r>
          </w:p>
        </w:tc>
        <w:tc>
          <w:tcPr>
            <w:tcW w:w="288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Description</w:t>
            </w:r>
          </w:p>
        </w:tc>
      </w:tr>
      <w:tr>
        <w:trPr/>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text</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string</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Code context around the API call (avg 293 chars, median 283, max 22,730)</w:t>
            </w:r>
          </w:p>
        </w:tc>
      </w:tr>
      <w:tr>
        <w:trPr/>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api_path</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string</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Fully qualified API path (28,563 unique paths across all three frameworks)</w:t>
            </w:r>
          </w:p>
        </w:tc>
      </w:tr>
      <w:tr>
        <w:trPr/>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framework</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categorical</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Source framework: tensorflow (130,475) | pytorch (213,102) | jax (76,125)</w:t>
            </w:r>
          </w:p>
        </w:tc>
      </w:tr>
      <w:tr>
        <w:trPr/>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labels</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list[str]</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Assigned behavioral labels after merging (5 possible labels)</w:t>
            </w:r>
          </w:p>
        </w:tc>
      </w:tr>
      <w:tr>
        <w:trPr/>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label_vector</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list[int]</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Binary vector (5-dim), e.g. [0, 1, 0, 0, 1]</w:t>
            </w:r>
          </w:p>
        </w:tc>
      </w:tr>
      <w:tr>
        <w:trPr/>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is_synthetic</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bool</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Whether record was synthetically generated from op signatures</w:t>
            </w:r>
          </w:p>
        </w:tc>
      </w:tr>
    </w:tbl>
    <w:p>
      <w:pPr>
        <w:pStyle w:val="Normal"/>
        <w:rPr/>
      </w:pPr>
      <w:r>
        <w:rPr/>
      </w:r>
    </w:p>
    <w:p>
      <w:pPr>
        <w:pStyle w:val="Normal"/>
        <w:spacing w:lineRule="exact" w:line="280" w:before="0" w:after="120"/>
        <w:rPr/>
      </w:pPr>
      <w:r>
        <w:rPr>
          <w:b/>
          <w:sz w:val="20"/>
        </w:rPr>
        <w:t>Missingness:</w:t>
      </w:r>
      <w:r>
        <w:rPr>
          <w:sz w:val="20"/>
        </w:rPr>
        <w:t xml:space="preserve"> No missing values exist in any field. The extraction pipeline produces complete records by construction: every API call has a resolved path, code context, and at least an empty label set. Records with no assignable labels were routed to the human review queue rather than included with missing labels.</w:t>
      </w:r>
    </w:p>
    <w:p>
      <w:pPr>
        <w:pStyle w:val="Normal"/>
        <w:spacing w:lineRule="exact" w:line="280" w:before="0" w:after="120"/>
        <w:rPr/>
      </w:pPr>
      <w:r>
        <w:rPr>
          <w:b/>
          <w:sz w:val="20"/>
        </w:rPr>
        <w:t>Summary statistics (from preprocessing pipeline output):</w:t>
      </w:r>
    </w:p>
    <w:tbl>
      <w:tblPr>
        <w:tblStyle w:val="TableGrid"/>
        <w:tblW w:w="8640"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4320"/>
        <w:gridCol w:w="4320"/>
      </w:tblGrid>
      <w:tr>
        <w:trPr/>
        <w:tc>
          <w:tcPr>
            <w:tcW w:w="432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Metric</w:t>
            </w:r>
          </w:p>
        </w:tc>
        <w:tc>
          <w:tcPr>
            <w:tcW w:w="432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Value</w:t>
            </w:r>
          </w:p>
        </w:tc>
      </w:tr>
      <w:tr>
        <w:trPr/>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Total records (raw extraction)</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419,702</w:t>
            </w:r>
          </w:p>
        </w:tc>
      </w:tr>
      <w:tr>
        <w:trPr/>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Per framework</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TF: 130,475 | PT: 213,102 | JAX: 76,125</w:t>
            </w:r>
          </w:p>
        </w:tc>
      </w:tr>
      <w:tr>
        <w:trPr/>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Unique API paths</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28,563</w:t>
            </w:r>
          </w:p>
        </w:tc>
      </w:tr>
      <w:tr>
        <w:trPr/>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Avg code context length</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293 characters (median: 283, max: 22,730)</w:t>
            </w:r>
          </w:p>
        </w:tc>
      </w:tr>
      <w:tr>
        <w:trPr/>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After dropping low-confidence records</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276,447 (dropped 143,255)</w:t>
            </w:r>
          </w:p>
        </w:tc>
      </w:tr>
      <w:tr>
        <w:trPr/>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After undersampling pure_calculation</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~129,579</w:t>
            </w:r>
          </w:p>
        </w:tc>
      </w:tr>
      <w:tr>
        <w:trPr/>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Final training set</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106,833</w:t>
            </w:r>
          </w:p>
        </w:tc>
      </w:tr>
      <w:tr>
        <w:trPr/>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Validation set</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11,373</w:t>
            </w:r>
          </w:p>
        </w:tc>
      </w:tr>
      <w:tr>
        <w:trPr/>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Test set</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11,373</w:t>
            </w:r>
          </w:p>
        </w:tc>
      </w:tr>
      <w:tr>
        <w:trPr/>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Multi-label records (2+ labels)</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33.8% of final dataset</w:t>
            </w:r>
          </w:p>
        </w:tc>
      </w:tr>
      <w:tr>
        <w:trPr/>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Synthetic records (train only)</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15,834</w:t>
            </w:r>
          </w:p>
        </w:tc>
      </w:tr>
    </w:tbl>
    <w:p>
      <w:pPr>
        <w:pStyle w:val="Normal"/>
        <w:rPr/>
      </w:pPr>
      <w:r>
        <w:rPr/>
      </w:r>
    </w:p>
    <w:p>
      <w:pPr>
        <w:pStyle w:val="Normal"/>
        <w:spacing w:lineRule="exact" w:line="280" w:before="0" w:after="120"/>
        <w:rPr/>
      </w:pPr>
      <w:r>
        <w:rPr>
          <w:b/>
          <w:sz w:val="20"/>
        </w:rPr>
        <w:t>Original 13-label distribution (before merging, from labeler output):</w:t>
      </w:r>
    </w:p>
    <w:tbl>
      <w:tblPr>
        <w:tblStyle w:val="TableGrid"/>
        <w:tblW w:w="8640"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2880"/>
        <w:gridCol w:w="2880"/>
        <w:gridCol w:w="2880"/>
      </w:tblGrid>
      <w:tr>
        <w:trPr/>
        <w:tc>
          <w:tcPr>
            <w:tcW w:w="288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Label</w:t>
            </w:r>
          </w:p>
        </w:tc>
        <w:tc>
          <w:tcPr>
            <w:tcW w:w="288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Count</w:t>
            </w:r>
          </w:p>
        </w:tc>
        <w:tc>
          <w:tcPr>
            <w:tcW w:w="288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 of Records</w:t>
            </w:r>
          </w:p>
        </w:tc>
      </w:tr>
      <w:tr>
        <w:trPr/>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calc_data_mgmt</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285,721</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68.1%</w:t>
            </w:r>
          </w:p>
        </w:tc>
      </w:tr>
      <w:tr>
        <w:trPr/>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calc_math</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84,180</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20.1%</w:t>
            </w:r>
          </w:p>
        </w:tc>
      </w:tr>
      <w:tr>
        <w:trPr/>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code_execution</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45,228</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10.8%</w:t>
            </w:r>
          </w:p>
        </w:tc>
      </w:tr>
      <w:tr>
        <w:trPr/>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network_send</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22,234</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5.3%</w:t>
            </w:r>
          </w:p>
        </w:tc>
      </w:tr>
      <w:tr>
        <w:trPr/>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calc_encode_decode</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18,234</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4.3%</w:t>
            </w:r>
          </w:p>
        </w:tc>
      </w:tr>
      <w:tr>
        <w:trPr/>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file_write</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11,852</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2.8%</w:t>
            </w:r>
          </w:p>
        </w:tc>
      </w:tr>
      <w:tr>
        <w:trPr/>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file_read</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6,234</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1.5%</w:t>
            </w:r>
          </w:p>
        </w:tc>
      </w:tr>
      <w:tr>
        <w:trPr/>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process_sleep</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5,154</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1.2%</w:t>
            </w:r>
          </w:p>
        </w:tc>
      </w:tr>
      <w:tr>
        <w:trPr/>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network_receive</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3,718</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0.9%</w:t>
            </w:r>
          </w:p>
        </w:tc>
      </w:tr>
      <w:tr>
        <w:trPr/>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process_create</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3,436</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0.8%</w:t>
            </w:r>
          </w:p>
        </w:tc>
      </w:tr>
      <w:tr>
        <w:trPr/>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dir_read</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1,814</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0.4%</w:t>
            </w:r>
          </w:p>
        </w:tc>
      </w:tr>
      <w:tr>
        <w:trPr/>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process_abort</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442</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0.1%</w:t>
            </w:r>
          </w:p>
        </w:tc>
      </w:tr>
      <w:tr>
        <w:trPr/>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dir_write</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78</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0.0%</w:t>
            </w:r>
          </w:p>
        </w:tc>
      </w:tr>
    </w:tbl>
    <w:p>
      <w:pPr>
        <w:pStyle w:val="Normal"/>
        <w:jc w:val="center"/>
        <w:rPr/>
      </w:pPr>
      <w:r>
        <w:rPr>
          <w:i/>
          <w:color w:val="666666"/>
          <w:sz w:val="16"/>
        </w:rPr>
        <w:t>Note: percentages exceed 100% because records can have multiple labels.</w:t>
      </w:r>
    </w:p>
    <w:p>
      <w:pPr>
        <w:pStyle w:val="Normal"/>
        <w:spacing w:lineRule="exact" w:line="280" w:before="0" w:after="120"/>
        <w:rPr/>
      </w:pPr>
      <w:r>
        <w:rPr>
          <w:b/>
          <w:sz w:val="20"/>
        </w:rPr>
        <w:t>Final 5-label distribution (after merging + balancing, from preprocessing log):</w:t>
      </w:r>
    </w:p>
    <w:tbl>
      <w:tblPr>
        <w:tblStyle w:val="TableGrid"/>
        <w:tblW w:w="8640"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1728"/>
        <w:gridCol w:w="1728"/>
        <w:gridCol w:w="1728"/>
        <w:gridCol w:w="1728"/>
        <w:gridCol w:w="1728"/>
      </w:tblGrid>
      <w:tr>
        <w:trPr/>
        <w:tc>
          <w:tcPr>
            <w:tcW w:w="1728"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Label</w:t>
            </w:r>
          </w:p>
        </w:tc>
        <w:tc>
          <w:tcPr>
            <w:tcW w:w="1728"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Train</w:t>
            </w:r>
          </w:p>
        </w:tc>
        <w:tc>
          <w:tcPr>
            <w:tcW w:w="1728"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Train %</w:t>
            </w:r>
          </w:p>
        </w:tc>
        <w:tc>
          <w:tcPr>
            <w:tcW w:w="1728"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Val</w:t>
            </w:r>
          </w:p>
        </w:tc>
        <w:tc>
          <w:tcPr>
            <w:tcW w:w="1728"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Test</w:t>
            </w:r>
          </w:p>
        </w:tc>
      </w:tr>
      <w:tr>
        <w:trPr/>
        <w:tc>
          <w:tcPr>
            <w:tcW w:w="172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pure_calculation</w:t>
            </w:r>
          </w:p>
        </w:tc>
        <w:tc>
          <w:tcPr>
            <w:tcW w:w="172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64,000</w:t>
            </w:r>
          </w:p>
        </w:tc>
        <w:tc>
          <w:tcPr>
            <w:tcW w:w="172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59.9%</w:t>
            </w:r>
          </w:p>
        </w:tc>
        <w:tc>
          <w:tcPr>
            <w:tcW w:w="172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6,023</w:t>
            </w:r>
          </w:p>
        </w:tc>
        <w:tc>
          <w:tcPr>
            <w:tcW w:w="172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5,957</w:t>
            </w:r>
          </w:p>
        </w:tc>
      </w:tr>
      <w:tr>
        <w:trPr/>
        <w:tc>
          <w:tcPr>
            <w:tcW w:w="172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code_execution</w:t>
            </w:r>
          </w:p>
        </w:tc>
        <w:tc>
          <w:tcPr>
            <w:tcW w:w="172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36,168</w:t>
            </w:r>
          </w:p>
        </w:tc>
        <w:tc>
          <w:tcPr>
            <w:tcW w:w="172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33.9%</w:t>
            </w:r>
          </w:p>
        </w:tc>
        <w:tc>
          <w:tcPr>
            <w:tcW w:w="172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4,480</w:t>
            </w:r>
          </w:p>
        </w:tc>
        <w:tc>
          <w:tcPr>
            <w:tcW w:w="172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4,543</w:t>
            </w:r>
          </w:p>
        </w:tc>
      </w:tr>
      <w:tr>
        <w:trPr/>
        <w:tc>
          <w:tcPr>
            <w:tcW w:w="172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network_access</w:t>
            </w:r>
          </w:p>
        </w:tc>
        <w:tc>
          <w:tcPr>
            <w:tcW w:w="172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18,106</w:t>
            </w:r>
          </w:p>
        </w:tc>
        <w:tc>
          <w:tcPr>
            <w:tcW w:w="172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16.9%</w:t>
            </w:r>
          </w:p>
        </w:tc>
        <w:tc>
          <w:tcPr>
            <w:tcW w:w="172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2,159</w:t>
            </w:r>
          </w:p>
        </w:tc>
        <w:tc>
          <w:tcPr>
            <w:tcW w:w="172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2,156</w:t>
            </w:r>
          </w:p>
        </w:tc>
      </w:tr>
      <w:tr>
        <w:trPr/>
        <w:tc>
          <w:tcPr>
            <w:tcW w:w="172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file_access</w:t>
            </w:r>
          </w:p>
        </w:tc>
        <w:tc>
          <w:tcPr>
            <w:tcW w:w="172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15,020</w:t>
            </w:r>
          </w:p>
        </w:tc>
        <w:tc>
          <w:tcPr>
            <w:tcW w:w="172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14.1%</w:t>
            </w:r>
          </w:p>
        </w:tc>
        <w:tc>
          <w:tcPr>
            <w:tcW w:w="172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1,871</w:t>
            </w:r>
          </w:p>
        </w:tc>
        <w:tc>
          <w:tcPr>
            <w:tcW w:w="172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1,871</w:t>
            </w:r>
          </w:p>
        </w:tc>
      </w:tr>
      <w:tr>
        <w:trPr/>
        <w:tc>
          <w:tcPr>
            <w:tcW w:w="172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process_mgmt</w:t>
            </w:r>
          </w:p>
        </w:tc>
        <w:tc>
          <w:tcPr>
            <w:tcW w:w="172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7,155</w:t>
            </w:r>
          </w:p>
        </w:tc>
        <w:tc>
          <w:tcPr>
            <w:tcW w:w="172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6.7%</w:t>
            </w:r>
          </w:p>
        </w:tc>
        <w:tc>
          <w:tcPr>
            <w:tcW w:w="172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873</w:t>
            </w:r>
          </w:p>
        </w:tc>
        <w:tc>
          <w:tcPr>
            <w:tcW w:w="172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916</w:t>
            </w:r>
          </w:p>
        </w:tc>
      </w:tr>
    </w:tbl>
    <w:p>
      <w:pPr>
        <w:pStyle w:val="Normal"/>
        <w:rPr/>
      </w:pPr>
      <w:r>
        <w:rPr/>
      </w:r>
    </w:p>
    <w:p>
      <w:pPr>
        <w:pStyle w:val="Normal"/>
        <w:spacing w:lineRule="exact" w:line="280" w:before="0" w:after="120"/>
        <w:rPr/>
      </w:pPr>
      <w:r>
        <w:rPr>
          <w:b/>
          <w:sz w:val="20"/>
        </w:rPr>
        <w:t>Duplicates:</w:t>
      </w:r>
      <w:r>
        <w:rPr>
          <w:sz w:val="20"/>
        </w:rPr>
        <w:t xml:space="preserve"> Content-hash-based deduplication was applied during extraction. Each record is hashed on (framework, api_path, code_context) and exact duplicates are removed. Near-duplicates (same API, slightly different context) are retained as they represent distinct usage patterns.</w:t>
      </w:r>
    </w:p>
    <w:p>
      <w:pPr>
        <w:pStyle w:val="Normal"/>
        <w:spacing w:lineRule="exact" w:line="280" w:before="0" w:after="120"/>
        <w:rPr/>
      </w:pPr>
      <w:r>
        <w:rPr>
          <w:b/>
          <w:sz w:val="20"/>
        </w:rPr>
        <w:t>Outliers:</w:t>
      </w:r>
      <w:r>
        <w:rPr>
          <w:sz w:val="20"/>
        </w:rPr>
        <w:t xml:space="preserve"> Code context length has a long tail (max 22,730 characters vs median 283). Files exceeding 500,000 characters were excluded during extraction (likely auto-generated code). The tokenizer truncates sequences to 512 characters, which covers the vast majority of records given the median of 283.</w:t>
      </w:r>
    </w:p>
    <w:p>
      <w:pPr>
        <w:pStyle w:val="Heading2"/>
        <w:rPr/>
      </w:pPr>
      <w:r>
        <w:rPr/>
        <w:t>2.4 Data Quality Issues and Mitigation</w:t>
      </w:r>
    </w:p>
    <w:tbl>
      <w:tblPr>
        <w:tblStyle w:val="TableGrid"/>
        <w:tblW w:w="8640"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2880"/>
        <w:gridCol w:w="2880"/>
        <w:gridCol w:w="2880"/>
      </w:tblGrid>
      <w:tr>
        <w:trPr/>
        <w:tc>
          <w:tcPr>
            <w:tcW w:w="288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Issue</w:t>
            </w:r>
          </w:p>
        </w:tc>
        <w:tc>
          <w:tcPr>
            <w:tcW w:w="288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Present?</w:t>
            </w:r>
          </w:p>
        </w:tc>
        <w:tc>
          <w:tcPr>
            <w:tcW w:w="288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Mitigation</w:t>
            </w:r>
          </w:p>
        </w:tc>
      </w:tr>
      <w:tr>
        <w:trPr/>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Missing values</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No</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Extraction pipeline produces complete records. Records with no assignable labels routed to review queue.</w:t>
            </w:r>
          </w:p>
        </w:tc>
      </w:tr>
      <w:tr>
        <w:trPr/>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Inconsistent formats</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Minor</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API paths differ by framework (gen_math_ops vs torch.ops.aten). Normalized via framework-specific path normalizers.</w:t>
            </w:r>
          </w:p>
        </w:tc>
      </w:tr>
      <w:tr>
        <w:trPr/>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Label noise / weak labels</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Yes</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Three-layer pipeline: rule-based + docstring + human review. Multi-label resolver for forced co-occurrences. 172,943 flagged records triaged into ~300 groups.</w:t>
            </w:r>
          </w:p>
        </w:tc>
      </w:tr>
      <w:tr>
        <w:trPr/>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Outliers / erroneous</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Minor</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Auto-generated files (&gt;500K chars) excluded. Max context 22,730 handled by tokenizer truncation at 512.</w:t>
            </w:r>
          </w:p>
        </w:tc>
      </w:tr>
      <w:tr>
        <w:trPr/>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Duplicates</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Handled</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Content-hash deduplication during extraction. Near-duplicates retained as distinct usage patterns.</w:t>
            </w:r>
          </w:p>
        </w:tc>
      </w:tr>
      <w:tr>
        <w:trPr/>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Data drift risk</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Low</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Framework APIs evolve slowly. Trained on current main branches. Re-extraction needed for major version changes.</w:t>
            </w:r>
          </w:p>
        </w:tc>
      </w:tr>
      <w:tr>
        <w:trPr/>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Class imbalance</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Severe</w:t>
            </w:r>
          </w:p>
        </w:tc>
        <w:tc>
          <w:tcPr>
            <w:tcW w:w="288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Original ratio: 40.9x. Mitigated by: (1) Merging 13 to 5 labels. (2) Undersampling pure_calculation to 25K. (3) Dropping 143,255 low-confidence from overrepresented classes. (4) Weighted BCE loss. Final ratio: 6.8x.</w:t>
            </w:r>
          </w:p>
        </w:tc>
      </w:tr>
    </w:tbl>
    <w:p>
      <w:pPr>
        <w:pStyle w:val="Normal"/>
        <w:rPr/>
      </w:pPr>
      <w:r>
        <w:rPr/>
      </w:r>
      <w:r>
        <w:br w:type="page"/>
      </w:r>
    </w:p>
    <w:p>
      <w:pPr>
        <w:pStyle w:val="Heading1"/>
        <w:spacing w:before="0" w:after="0"/>
        <w:rPr/>
      </w:pPr>
      <w:r>
        <w:rPr/>
        <w:t>3. Feature Engineering</w:t>
      </w:r>
    </w:p>
    <w:p>
      <w:pPr>
        <w:pStyle w:val="Heading2"/>
        <w:rPr/>
      </w:pPr>
      <w:r>
        <w:rPr/>
        <w:t>3.1 Candidate Features</w:t>
      </w:r>
    </w:p>
    <w:p>
      <w:pPr>
        <w:pStyle w:val="Normal"/>
        <w:spacing w:lineRule="exact" w:line="280" w:before="0" w:after="120"/>
        <w:rPr/>
      </w:pPr>
      <w:r>
        <w:rPr>
          <w:sz w:val="20"/>
        </w:rPr>
        <w:t xml:space="preserve">The primary input feature is the </w:t>
      </w:r>
      <w:r>
        <w:rPr>
          <w:b/>
          <w:sz w:val="20"/>
        </w:rPr>
        <w:t>code context</w:t>
      </w:r>
      <w:r>
        <w:rPr>
          <w:sz w:val="20"/>
        </w:rPr>
        <w:t xml:space="preserve"> — a character sequence containing the API call expression and surrounding code. The model learns features at multiple granularities through its architecture:</w:t>
      </w:r>
    </w:p>
    <w:tbl>
      <w:tblPr>
        <w:tblStyle w:val="TableGrid"/>
        <w:tblW w:w="8640"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2160"/>
        <w:gridCol w:w="2160"/>
        <w:gridCol w:w="2160"/>
        <w:gridCol w:w="2160"/>
      </w:tblGrid>
      <w:tr>
        <w:trPr/>
        <w:tc>
          <w:tcPr>
            <w:tcW w:w="216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Feature Family</w:t>
            </w:r>
          </w:p>
        </w:tc>
        <w:tc>
          <w:tcPr>
            <w:tcW w:w="216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Type</w:t>
            </w:r>
          </w:p>
        </w:tc>
        <w:tc>
          <w:tcPr>
            <w:tcW w:w="216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Examples</w:t>
            </w:r>
          </w:p>
        </w:tc>
        <w:tc>
          <w:tcPr>
            <w:tcW w:w="216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Extracted By</w:t>
            </w:r>
          </w:p>
        </w:tc>
      </w:tr>
      <w:tr>
        <w:trPr/>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Character n-grams</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Text (char-level)</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"rpc_", "save(", "gen_io"</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CNN filters (kernel 3, 5, 7)</w:t>
            </w:r>
          </w:p>
        </w:tc>
      </w:tr>
      <w:tr>
        <w:trPr/>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Sub-word patterns</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Text (char-level)</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"_ops.read", "torch.dist"</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CNN multi-scale convolution</w:t>
            </w:r>
          </w:p>
        </w:tc>
      </w:tr>
      <w:tr>
        <w:trPr/>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Sequence context</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Sequential</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Import before call, nesting</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BiLSTM (2-layer, hidden 128)</w:t>
            </w:r>
          </w:p>
        </w:tc>
      </w:tr>
      <w:tr>
        <w:trPr/>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Discriminative focus</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Attention</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Most label-predictive region</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Attention pooling layer</w:t>
            </w:r>
          </w:p>
        </w:tc>
      </w:tr>
      <w:tr>
        <w:trPr/>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Number normalization</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Preprocessed</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All digits collapsed to 0</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Tokenizer preprocessing</w:t>
            </w:r>
          </w:p>
        </w:tc>
      </w:tr>
    </w:tbl>
    <w:p>
      <w:pPr>
        <w:pStyle w:val="Normal"/>
        <w:rPr/>
      </w:pPr>
      <w:r>
        <w:rPr/>
      </w:r>
    </w:p>
    <w:p>
      <w:pPr>
        <w:pStyle w:val="Heading2"/>
        <w:rPr/>
      </w:pPr>
      <w:r>
        <w:rPr/>
        <w:t>3.2 Feature Types and Encoding</w:t>
      </w:r>
    </w:p>
    <w:p>
      <w:pPr>
        <w:pStyle w:val="Normal"/>
        <w:spacing w:lineRule="exact" w:line="280" w:before="0" w:after="120"/>
        <w:rPr/>
      </w:pPr>
      <w:r>
        <w:rPr>
          <w:b/>
          <w:sz w:val="20"/>
        </w:rPr>
        <w:t>Text encoding — character-level tokenization:</w:t>
      </w:r>
      <w:r>
        <w:rPr>
          <w:sz w:val="20"/>
        </w:rPr>
        <w:t xml:space="preserve"> The code context is tokenized at the character level using a custom CodeTokenizer with a vocabulary of 112 characters. We chose character-level over word-level or subword (BPE) tokenization because API paths contain meaningful sub-word morphemes that word tokenizers would split incorrectly (e.g., gen_rpc_ops should expose "gen", "rpc", and "ops" as learnable patterns). The small vocabulary also means no out-of-vocabulary issues for unseen API names.</w:t>
      </w:r>
    </w:p>
    <w:p>
      <w:pPr>
        <w:pStyle w:val="Heading2"/>
        <w:rPr/>
      </w:pPr>
      <w:r>
        <w:rPr/>
        <w:t>3.3 Domain-Specific Transformations</w:t>
      </w:r>
    </w:p>
    <w:tbl>
      <w:tblPr>
        <w:tblStyle w:val="TableGrid"/>
        <w:tblW w:w="8640"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4320"/>
        <w:gridCol w:w="4320"/>
      </w:tblGrid>
      <w:tr>
        <w:trPr/>
        <w:tc>
          <w:tcPr>
            <w:tcW w:w="432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Transformation</w:t>
            </w:r>
          </w:p>
        </w:tc>
        <w:tc>
          <w:tcPr>
            <w:tcW w:w="432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Rationale</w:t>
            </w:r>
          </w:p>
        </w:tc>
      </w:tr>
      <w:tr>
        <w:trPr/>
        <w:tc>
          <w:tcPr>
            <w:tcW w:w="432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Number collapsing (digits → 0)</w:t>
            </w:r>
          </w:p>
        </w:tc>
        <w:tc>
          <w:tcPr>
            <w:tcW w:w="432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Port numbers, timeouts, tensor shapes are not label-predictive. Reduces vocab, forces structural learning.</w:t>
            </w:r>
          </w:p>
        </w:tc>
      </w:tr>
      <w:tr>
        <w:trPr/>
        <w:tc>
          <w:tcPr>
            <w:tcW w:w="432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Whitespace normalization</w:t>
            </w:r>
          </w:p>
        </w:tc>
        <w:tc>
          <w:tcPr>
            <w:tcW w:w="432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Consecutive whitespace collapsed to single space. Indentation depth is not consistently informative.</w:t>
            </w:r>
          </w:p>
        </w:tc>
      </w:tr>
      <w:tr>
        <w:trPr/>
        <w:tc>
          <w:tcPr>
            <w:tcW w:w="432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Lowercasing</w:t>
            </w:r>
          </w:p>
        </w:tc>
        <w:tc>
          <w:tcPr>
            <w:tcW w:w="432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API names use mixed case. Ensures "RpcCall" and "rpc_call" share learned features.</w:t>
            </w:r>
          </w:p>
        </w:tc>
      </w:tr>
      <w:tr>
        <w:trPr/>
        <w:tc>
          <w:tcPr>
            <w:tcW w:w="432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Truncation (512 chars)</w:t>
            </w:r>
          </w:p>
        </w:tc>
        <w:tc>
          <w:tcPr>
            <w:tcW w:w="432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Median context is 283 chars, so 512 covers the vast majority without padding waste.</w:t>
            </w:r>
          </w:p>
        </w:tc>
      </w:tr>
    </w:tbl>
    <w:p>
      <w:pPr>
        <w:pStyle w:val="Normal"/>
        <w:rPr/>
      </w:pPr>
      <w:r>
        <w:rPr/>
      </w:r>
    </w:p>
    <w:p>
      <w:pPr>
        <w:pStyle w:val="Heading2"/>
        <w:rPr/>
      </w:pPr>
      <w:r>
        <w:rPr/>
        <w:t>3.4 Handling of Categorical Variables</w:t>
      </w:r>
    </w:p>
    <w:p>
      <w:pPr>
        <w:pStyle w:val="Normal"/>
        <w:spacing w:lineRule="exact" w:line="280" w:before="0" w:after="120"/>
        <w:rPr/>
      </w:pPr>
      <w:r>
        <w:rPr>
          <w:sz w:val="20"/>
        </w:rPr>
        <w:t xml:space="preserve">The </w:t>
      </w:r>
      <w:r>
        <w:rPr>
          <w:b/>
          <w:sz w:val="20"/>
        </w:rPr>
        <w:t>framework</w:t>
      </w:r>
      <w:r>
        <w:rPr>
          <w:sz w:val="20"/>
        </w:rPr>
        <w:t xml:space="preserve"> field (tensorflow/pytorch/jax) is intentionally not used as an explicit input feature. We want the model to learn behavioral patterns that transfer across frameworks, not memorize that gen_* means TensorFlow. The framework information is implicitly present in the code context (import statements, naming conventions) and the model can leverage it if helpful, but is not forced to depend on it.</w:t>
      </w:r>
    </w:p>
    <w:p>
      <w:pPr>
        <w:pStyle w:val="Heading2"/>
        <w:rPr/>
      </w:pPr>
      <w:r>
        <w:rPr/>
        <w:t>3.5 Handling of Text Data</w:t>
      </w:r>
    </w:p>
    <w:p>
      <w:pPr>
        <w:pStyle w:val="Normal"/>
        <w:spacing w:lineRule="exact" w:line="280" w:before="0" w:after="120"/>
        <w:rPr/>
      </w:pPr>
      <w:r>
        <w:rPr>
          <w:sz w:val="20"/>
        </w:rPr>
        <w:t>The end-to-end text processing pipeline:</w:t>
      </w:r>
    </w:p>
    <w:tbl>
      <w:tblPr>
        <w:tblStyle w:val="TableGrid"/>
        <w:tblW w:w="8640"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2880"/>
        <w:gridCol w:w="2880"/>
        <w:gridCol w:w="2880"/>
      </w:tblGrid>
      <w:tr>
        <w:trPr/>
        <w:tc>
          <w:tcPr>
            <w:tcW w:w="288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Stage</w:t>
            </w:r>
          </w:p>
        </w:tc>
        <w:tc>
          <w:tcPr>
            <w:tcW w:w="288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Operation</w:t>
            </w:r>
          </w:p>
        </w:tc>
        <w:tc>
          <w:tcPr>
            <w:tcW w:w="288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Output</w:t>
            </w:r>
          </w:p>
        </w:tc>
      </w:tr>
      <w:tr>
        <w:trPr/>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1. Raw input</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Code context string</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"from gen_rpc_ops import ..."</w:t>
            </w:r>
          </w:p>
        </w:tc>
      </w:tr>
      <w:tr>
        <w:trPr/>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2. Normalize</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Lowercase + collapse numbers/ws</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Normalized string</w:t>
            </w:r>
          </w:p>
        </w:tc>
      </w:tr>
      <w:tr>
        <w:trPr/>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3. Tokenize</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Char to index (vocab 112)</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[2, 45, 67, ..., 3] with BOS/EOS</w:t>
            </w:r>
          </w:p>
        </w:tc>
      </w:tr>
      <w:tr>
        <w:trPr/>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4. Pad/truncate</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Fixed length 512</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Zero-padded tensor</w:t>
            </w:r>
          </w:p>
        </w:tc>
      </w:tr>
      <w:tr>
        <w:trPr/>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5. Embed</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Learnable 64-dim embedding</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(batch, 512, 64)</w:t>
            </w:r>
          </w:p>
        </w:tc>
      </w:tr>
      <w:tr>
        <w:trPr/>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6. CNN</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3 parallel 1D conv (k=3,5,7)</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(batch, 512, 384) [128 x 3]</w:t>
            </w:r>
          </w:p>
        </w:tc>
      </w:tr>
      <w:tr>
        <w:trPr/>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7. BiLSTM</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2-layer bidir, hidden 128</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(batch, 512, 256)</w:t>
            </w:r>
          </w:p>
        </w:tc>
      </w:tr>
      <w:tr>
        <w:trPr/>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8. Attention</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Weighted pooling</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(batch, 256)</w:t>
            </w:r>
          </w:p>
        </w:tc>
      </w:tr>
      <w:tr>
        <w:trPr/>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9. Classifier</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FC + Sigmoid</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(batch, 5) probabilities</w:t>
            </w:r>
          </w:p>
        </w:tc>
      </w:tr>
    </w:tbl>
    <w:p>
      <w:pPr>
        <w:pStyle w:val="Normal"/>
        <w:rPr/>
      </w:pPr>
      <w:r>
        <w:rPr/>
      </w:r>
    </w:p>
    <w:p>
      <w:pPr>
        <w:pStyle w:val="Normal"/>
        <w:spacing w:lineRule="exact" w:line="280" w:before="0" w:after="120"/>
        <w:rPr/>
      </w:pPr>
      <w:r>
        <w:rPr>
          <w:sz w:val="20"/>
        </w:rPr>
        <w:t xml:space="preserve">The total model has </w:t>
      </w:r>
      <w:r>
        <w:rPr>
          <w:b/>
          <w:sz w:val="20"/>
        </w:rPr>
        <w:t>1,119,622 trainable parameters</w:t>
      </w:r>
      <w:r>
        <w:rPr>
          <w:sz w:val="20"/>
        </w:rPr>
        <w:t>. Training uses weighted binary cross-entropy loss with pos_weight = [1.8702, 1.5514, 3.9259, 0.4389, 0.7766] (from training set frequencies), AdamW optimizer with OneCycleLR scheduling, and early stopping with patience of 5 epochs.</w:t>
      </w:r>
    </w:p>
    <w:p>
      <w:pPr>
        <w:pStyle w:val="Heading1"/>
        <w:rPr/>
      </w:pPr>
      <w:r>
        <w:rPr/>
        <w:t>4. Code Submission</w:t>
      </w:r>
    </w:p>
    <w:p>
      <w:pPr>
        <w:pStyle w:val="Normal"/>
        <w:spacing w:lineRule="exact" w:line="280" w:before="0" w:after="120"/>
        <w:rPr/>
      </w:pPr>
      <w:r>
        <w:rPr>
          <w:sz w:val="20"/>
        </w:rPr>
        <w:t xml:space="preserve">All code is available at: </w:t>
      </w:r>
      <w:r>
        <w:rPr>
          <w:b/>
          <w:sz w:val="20"/>
        </w:rPr>
        <w:t>[Your GitHub Repository URL]</w:t>
      </w:r>
    </w:p>
    <w:p>
      <w:pPr>
        <w:pStyle w:val="Normal"/>
        <w:spacing w:lineRule="exact" w:line="280" w:before="0" w:after="120"/>
        <w:rPr/>
      </w:pPr>
      <w:r>
        <w:rPr>
          <w:b/>
          <w:sz w:val="20"/>
        </w:rPr>
        <w:t>Repository structure:</w:t>
      </w:r>
    </w:p>
    <w:tbl>
      <w:tblPr>
        <w:tblStyle w:val="TableGrid"/>
        <w:tblW w:w="8640"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4320"/>
        <w:gridCol w:w="4320"/>
      </w:tblGrid>
      <w:tr>
        <w:trPr/>
        <w:tc>
          <w:tcPr>
            <w:tcW w:w="432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File</w:t>
            </w:r>
          </w:p>
        </w:tc>
        <w:tc>
          <w:tcPr>
            <w:tcW w:w="432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Purpose</w:t>
            </w:r>
          </w:p>
        </w:tc>
      </w:tr>
      <w:tr>
        <w:trPr/>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README.md</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Setup instructions, dependencies, how to run, where outputs are saved</w:t>
            </w:r>
          </w:p>
        </w:tc>
      </w:tr>
      <w:tr>
        <w:trPr/>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deep_api_extractor.py</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AST-based extraction from TF/PyTorch/JAX repos. Produces unified_dataset.jsonl.</w:t>
            </w:r>
          </w:p>
        </w:tc>
      </w:tr>
      <w:tr>
        <w:trPr/>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api_behavior_labeler.py</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Three-layer multi-label labeler. Produces labeled.jsonl + review.jsonl.</w:t>
            </w:r>
          </w:p>
        </w:tc>
      </w:tr>
      <w:tr>
        <w:trPr/>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review_viewer.py</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Interactive HTML triage interface. Groups by (prefix + label set).</w:t>
            </w:r>
          </w:p>
        </w:tc>
      </w:tr>
      <w:tr>
        <w:trPr/>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preprocess_dataset.py</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Merges 13→5 labels, balances, produces train/val/test + metadata.json.</w:t>
            </w:r>
          </w:p>
        </w:tc>
      </w:tr>
      <w:tr>
        <w:trPr/>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train.py</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Tokenizer, CNN+BiLSTM model, training, evaluation, prediction. Includes baseline.</w:t>
            </w:r>
          </w:p>
        </w:tc>
      </w:tr>
    </w:tbl>
    <w:p>
      <w:pPr>
        <w:pStyle w:val="Normal"/>
        <w:rPr/>
      </w:pPr>
      <w:r>
        <w:rPr/>
      </w:r>
    </w:p>
    <w:p>
      <w:pPr>
        <w:pStyle w:val="Normal"/>
        <w:spacing w:lineRule="exact" w:line="280" w:before="0" w:after="120"/>
        <w:rPr/>
      </w:pPr>
      <w:r>
        <w:rPr>
          <w:b/>
          <w:sz w:val="20"/>
        </w:rPr>
        <w:t>How to run (end-to-end from raw data):</w:t>
      </w:r>
    </w:p>
    <w:p>
      <w:pPr>
        <w:pStyle w:val="Normal"/>
        <w:spacing w:before="0" w:after="40"/>
        <w:ind w:start="432"/>
        <w:rPr/>
      </w:pPr>
      <w:r>
        <w:rPr>
          <w:rFonts w:ascii="Courier New" w:hAnsi="Courier New"/>
          <w:color w:val="333333"/>
          <w:sz w:val="16"/>
        </w:rPr>
        <w:t># Clone framework repos</w:t>
      </w:r>
    </w:p>
    <w:p>
      <w:pPr>
        <w:pStyle w:val="Normal"/>
        <w:spacing w:before="0" w:after="40"/>
        <w:ind w:start="432"/>
        <w:rPr/>
      </w:pPr>
      <w:r>
        <w:rPr>
          <w:rFonts w:ascii="Courier New" w:hAnsi="Courier New"/>
          <w:color w:val="333333"/>
          <w:sz w:val="16"/>
        </w:rPr>
        <w:t>git clone --depth 1 https://github.com/tensorflow/tensorflow.git</w:t>
      </w:r>
    </w:p>
    <w:p>
      <w:pPr>
        <w:pStyle w:val="Normal"/>
        <w:spacing w:before="0" w:after="40"/>
        <w:ind w:start="432"/>
        <w:rPr/>
      </w:pPr>
      <w:r>
        <w:rPr>
          <w:rFonts w:ascii="Courier New" w:hAnsi="Courier New"/>
          <w:color w:val="333333"/>
          <w:sz w:val="16"/>
        </w:rPr>
        <w:t>git clone --depth 1 https://github.com/pytorch/pytorch.git</w:t>
      </w:r>
    </w:p>
    <w:p>
      <w:pPr>
        <w:pStyle w:val="Normal"/>
        <w:spacing w:before="0" w:after="40"/>
        <w:ind w:start="432"/>
        <w:rPr/>
      </w:pPr>
      <w:r>
        <w:rPr>
          <w:rFonts w:ascii="Courier New" w:hAnsi="Courier New"/>
          <w:color w:val="333333"/>
          <w:sz w:val="16"/>
        </w:rPr>
        <w:t>git clone --depth 1 https://github.com/jax-ml/jax.git</w:t>
      </w:r>
    </w:p>
    <w:p>
      <w:pPr>
        <w:pStyle w:val="Normal"/>
        <w:spacing w:before="0" w:after="40"/>
        <w:ind w:start="432"/>
        <w:rPr/>
      </w:pPr>
      <w:r>
        <w:rPr/>
      </w:r>
    </w:p>
    <w:p>
      <w:pPr>
        <w:pStyle w:val="Normal"/>
        <w:spacing w:before="0" w:after="40"/>
        <w:ind w:start="432"/>
        <w:rPr/>
      </w:pPr>
      <w:r>
        <w:rPr>
          <w:rFonts w:ascii="Courier New" w:hAnsi="Courier New"/>
          <w:color w:val="333333"/>
          <w:sz w:val="16"/>
        </w:rPr>
        <w:t># Install dependencies</w:t>
      </w:r>
    </w:p>
    <w:p>
      <w:pPr>
        <w:pStyle w:val="Normal"/>
        <w:spacing w:before="0" w:after="40"/>
        <w:ind w:start="432"/>
        <w:rPr/>
      </w:pPr>
      <w:r>
        <w:rPr>
          <w:rFonts w:ascii="Courier New" w:hAnsi="Courier New"/>
          <w:color w:val="333333"/>
          <w:sz w:val="16"/>
        </w:rPr>
        <w:t>pip install torch scikit-learn pyyaml numpy</w:t>
      </w:r>
    </w:p>
    <w:p>
      <w:pPr>
        <w:pStyle w:val="Normal"/>
        <w:spacing w:before="0" w:after="40"/>
        <w:ind w:start="432"/>
        <w:rPr/>
      </w:pPr>
      <w:r>
        <w:rPr/>
      </w:r>
    </w:p>
    <w:p>
      <w:pPr>
        <w:pStyle w:val="Normal"/>
        <w:spacing w:before="0" w:after="40"/>
        <w:ind w:start="432"/>
        <w:rPr/>
      </w:pPr>
      <w:r>
        <w:rPr>
          <w:rFonts w:ascii="Courier New" w:hAnsi="Courier New"/>
          <w:color w:val="333333"/>
          <w:sz w:val="16"/>
        </w:rPr>
        <w:t># Extract API calls</w:t>
      </w:r>
    </w:p>
    <w:p>
      <w:pPr>
        <w:pStyle w:val="Normal"/>
        <w:spacing w:before="0" w:after="40"/>
        <w:ind w:start="432"/>
        <w:rPr/>
      </w:pPr>
      <w:r>
        <w:rPr>
          <w:rFonts w:ascii="Courier New" w:hAnsi="Courier New"/>
          <w:color w:val="333333"/>
          <w:sz w:val="16"/>
        </w:rPr>
        <w:t>python deep_api_extractor.py --tf-repo ./tensorflow --pytorch-repo ./pytorch --jax-repo ./jax --output ./unified.jsonl --include-synthetic</w:t>
      </w:r>
    </w:p>
    <w:p>
      <w:pPr>
        <w:pStyle w:val="Normal"/>
        <w:spacing w:before="0" w:after="40"/>
        <w:ind w:start="432"/>
        <w:rPr/>
      </w:pPr>
      <w:r>
        <w:rPr/>
      </w:r>
    </w:p>
    <w:p>
      <w:pPr>
        <w:pStyle w:val="Normal"/>
        <w:spacing w:before="0" w:after="40"/>
        <w:ind w:start="432"/>
        <w:rPr/>
      </w:pPr>
      <w:r>
        <w:rPr>
          <w:rFonts w:ascii="Courier New" w:hAnsi="Courier New"/>
          <w:color w:val="333333"/>
          <w:sz w:val="16"/>
        </w:rPr>
        <w:t># Label with behavioral categories</w:t>
      </w:r>
    </w:p>
    <w:p>
      <w:pPr>
        <w:pStyle w:val="Normal"/>
        <w:spacing w:before="0" w:after="40"/>
        <w:ind w:start="432"/>
        <w:rPr/>
      </w:pPr>
      <w:r>
        <w:rPr>
          <w:rFonts w:ascii="Courier New" w:hAnsi="Courier New"/>
          <w:color w:val="333333"/>
          <w:sz w:val="16"/>
        </w:rPr>
        <w:t>python api_behavior_labeler.py --input ./unified.jsonl --output ./labeled.jsonl --review-queue ./review.jsonl</w:t>
      </w:r>
    </w:p>
    <w:p>
      <w:pPr>
        <w:pStyle w:val="Normal"/>
        <w:spacing w:before="0" w:after="40"/>
        <w:ind w:start="432"/>
        <w:rPr/>
      </w:pPr>
      <w:r>
        <w:rPr/>
      </w:r>
    </w:p>
    <w:p>
      <w:pPr>
        <w:pStyle w:val="Normal"/>
        <w:spacing w:before="0" w:after="40"/>
        <w:ind w:start="432"/>
        <w:rPr/>
      </w:pPr>
      <w:r>
        <w:rPr>
          <w:rFonts w:ascii="Courier New" w:hAnsi="Courier New"/>
          <w:color w:val="333333"/>
          <w:sz w:val="16"/>
        </w:rPr>
        <w:t># Preprocess and balance</w:t>
      </w:r>
    </w:p>
    <w:p>
      <w:pPr>
        <w:pStyle w:val="Normal"/>
        <w:spacing w:before="0" w:after="40"/>
        <w:ind w:start="432"/>
        <w:rPr/>
      </w:pPr>
      <w:r>
        <w:rPr>
          <w:rFonts w:ascii="Courier New" w:hAnsi="Courier New"/>
          <w:color w:val="333333"/>
          <w:sz w:val="16"/>
        </w:rPr>
        <w:t>python preprocess_dataset.py --input ./labeled.jsonl --output-dir ./training_data --calc-cap 25000</w:t>
      </w:r>
    </w:p>
    <w:p>
      <w:pPr>
        <w:pStyle w:val="Normal"/>
        <w:spacing w:before="0" w:after="40"/>
        <w:ind w:start="432"/>
        <w:rPr/>
      </w:pPr>
      <w:r>
        <w:rPr/>
      </w:r>
    </w:p>
    <w:p>
      <w:pPr>
        <w:pStyle w:val="Normal"/>
        <w:spacing w:before="0" w:after="40"/>
        <w:ind w:start="432"/>
        <w:rPr/>
      </w:pPr>
      <w:r>
        <w:rPr>
          <w:rFonts w:ascii="Courier New" w:hAnsi="Courier New"/>
          <w:color w:val="333333"/>
          <w:sz w:val="16"/>
        </w:rPr>
        <w:t># Train</w:t>
      </w:r>
    </w:p>
    <w:p>
      <w:pPr>
        <w:pStyle w:val="Normal"/>
        <w:spacing w:before="0" w:after="40"/>
        <w:ind w:start="432"/>
        <w:rPr/>
      </w:pPr>
      <w:r>
        <w:rPr>
          <w:rFonts w:ascii="Courier New" w:hAnsi="Courier New"/>
          <w:color w:val="333333"/>
          <w:sz w:val="16"/>
        </w:rPr>
        <w:t>python train.py --mode train --data-dir ./training_data --epochs 20 --batch-size 64</w:t>
      </w:r>
    </w:p>
    <w:p>
      <w:pPr>
        <w:pStyle w:val="Normal"/>
        <w:rPr/>
      </w:pPr>
      <w:r>
        <w:rPr/>
      </w:r>
    </w:p>
    <w:p>
      <w:pPr>
        <w:pStyle w:val="Normal"/>
        <w:spacing w:lineRule="exact" w:line="280" w:before="0" w:after="120"/>
        <w:rPr/>
      </w:pPr>
      <w:r>
        <w:rPr>
          <w:b/>
          <w:sz w:val="20"/>
        </w:rPr>
        <w:t>Saved output artifacts:</w:t>
      </w:r>
      <w:r>
        <w:rPr>
          <w:sz w:val="20"/>
        </w:rPr>
        <w:t xml:space="preserve"> training_data/metadata.json (class weights, label schema, split statistics), checkpoints/best_model.pt (trained model weights), checkpoints/tokenizer.json (fitted tokenizer vocabulary).</w:t>
      </w:r>
    </w:p>
    <w:p>
      <w:pPr>
        <w:pStyle w:val="Normal"/>
        <w:rPr/>
      </w:pPr>
      <w:r>
        <w:rPr/>
      </w:r>
      <w:r>
        <w:br w:type="page"/>
      </w:r>
    </w:p>
    <w:p>
      <w:pPr>
        <w:pStyle w:val="Heading1"/>
        <w:spacing w:before="0" w:after="0"/>
        <w:rPr/>
      </w:pPr>
      <w:r>
        <w:rPr/>
        <w:t>Appendix: Preliminary Model Results</w:t>
      </w:r>
    </w:p>
    <w:p>
      <w:pPr>
        <w:pStyle w:val="Normal"/>
        <w:spacing w:lineRule="exact" w:line="280" w:before="0" w:after="120"/>
        <w:rPr/>
      </w:pPr>
      <w:r>
        <w:rPr>
          <w:sz w:val="20"/>
        </w:rPr>
        <w:t>The 1D-CNN + BiLSTM model (1,119,622 parameters) was trained for 20 epochs. Final test set performance (11,373 records):</w:t>
      </w:r>
    </w:p>
    <w:tbl>
      <w:tblPr>
        <w:tblStyle w:val="TableGrid"/>
        <w:tblW w:w="8640"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1440"/>
        <w:gridCol w:w="1439"/>
        <w:gridCol w:w="1441"/>
        <w:gridCol w:w="1440"/>
        <w:gridCol w:w="1439"/>
        <w:gridCol w:w="1441"/>
      </w:tblGrid>
      <w:tr>
        <w:trPr/>
        <w:tc>
          <w:tcPr>
            <w:tcW w:w="144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Label</w:t>
            </w:r>
          </w:p>
        </w:tc>
        <w:tc>
          <w:tcPr>
            <w:tcW w:w="1439"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Precision</w:t>
            </w:r>
          </w:p>
        </w:tc>
        <w:tc>
          <w:tcPr>
            <w:tcW w:w="1441"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Recall</w:t>
            </w:r>
          </w:p>
        </w:tc>
        <w:tc>
          <w:tcPr>
            <w:tcW w:w="144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F1</w:t>
            </w:r>
          </w:p>
        </w:tc>
        <w:tc>
          <w:tcPr>
            <w:tcW w:w="1439"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Accuracy</w:t>
            </w:r>
          </w:p>
        </w:tc>
        <w:tc>
          <w:tcPr>
            <w:tcW w:w="1441"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Support</w:t>
            </w:r>
          </w:p>
        </w:tc>
      </w:tr>
      <w:tr>
        <w:trPr/>
        <w:tc>
          <w:tcPr>
            <w:tcW w:w="144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file_access</w:t>
            </w:r>
          </w:p>
        </w:tc>
        <w:tc>
          <w:tcPr>
            <w:tcW w:w="1439"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0.973</w:t>
            </w:r>
          </w:p>
        </w:tc>
        <w:tc>
          <w:tcPr>
            <w:tcW w:w="1441"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0.984</w:t>
            </w:r>
          </w:p>
        </w:tc>
        <w:tc>
          <w:tcPr>
            <w:tcW w:w="144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0.978</w:t>
            </w:r>
          </w:p>
        </w:tc>
        <w:tc>
          <w:tcPr>
            <w:tcW w:w="1439"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0.993</w:t>
            </w:r>
          </w:p>
        </w:tc>
        <w:tc>
          <w:tcPr>
            <w:tcW w:w="1441"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1,871</w:t>
            </w:r>
          </w:p>
        </w:tc>
      </w:tr>
      <w:tr>
        <w:trPr/>
        <w:tc>
          <w:tcPr>
            <w:tcW w:w="144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network_access</w:t>
            </w:r>
          </w:p>
        </w:tc>
        <w:tc>
          <w:tcPr>
            <w:tcW w:w="1439"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0.951</w:t>
            </w:r>
          </w:p>
        </w:tc>
        <w:tc>
          <w:tcPr>
            <w:tcW w:w="1441"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0.971</w:t>
            </w:r>
          </w:p>
        </w:tc>
        <w:tc>
          <w:tcPr>
            <w:tcW w:w="144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0.961</w:t>
            </w:r>
          </w:p>
        </w:tc>
        <w:tc>
          <w:tcPr>
            <w:tcW w:w="1439"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0.985</w:t>
            </w:r>
          </w:p>
        </w:tc>
        <w:tc>
          <w:tcPr>
            <w:tcW w:w="1441"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2,156</w:t>
            </w:r>
          </w:p>
        </w:tc>
      </w:tr>
      <w:tr>
        <w:trPr/>
        <w:tc>
          <w:tcPr>
            <w:tcW w:w="144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process_mgmt</w:t>
            </w:r>
          </w:p>
        </w:tc>
        <w:tc>
          <w:tcPr>
            <w:tcW w:w="1439"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0.930</w:t>
            </w:r>
          </w:p>
        </w:tc>
        <w:tc>
          <w:tcPr>
            <w:tcW w:w="1441"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0.969</w:t>
            </w:r>
          </w:p>
        </w:tc>
        <w:tc>
          <w:tcPr>
            <w:tcW w:w="144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0.949</w:t>
            </w:r>
          </w:p>
        </w:tc>
        <w:tc>
          <w:tcPr>
            <w:tcW w:w="1439"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0.992</w:t>
            </w:r>
          </w:p>
        </w:tc>
        <w:tc>
          <w:tcPr>
            <w:tcW w:w="1441"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916</w:t>
            </w:r>
          </w:p>
        </w:tc>
      </w:tr>
      <w:tr>
        <w:trPr/>
        <w:tc>
          <w:tcPr>
            <w:tcW w:w="144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pure_calculation</w:t>
            </w:r>
          </w:p>
        </w:tc>
        <w:tc>
          <w:tcPr>
            <w:tcW w:w="1439"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0.980</w:t>
            </w:r>
          </w:p>
        </w:tc>
        <w:tc>
          <w:tcPr>
            <w:tcW w:w="1441"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0.963</w:t>
            </w:r>
          </w:p>
        </w:tc>
        <w:tc>
          <w:tcPr>
            <w:tcW w:w="144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0.971</w:t>
            </w:r>
          </w:p>
        </w:tc>
        <w:tc>
          <w:tcPr>
            <w:tcW w:w="1439"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0.970</w:t>
            </w:r>
          </w:p>
        </w:tc>
        <w:tc>
          <w:tcPr>
            <w:tcW w:w="1441"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5,957</w:t>
            </w:r>
          </w:p>
        </w:tc>
      </w:tr>
      <w:tr>
        <w:trPr/>
        <w:tc>
          <w:tcPr>
            <w:tcW w:w="144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code_execution</w:t>
            </w:r>
          </w:p>
        </w:tc>
        <w:tc>
          <w:tcPr>
            <w:tcW w:w="1439"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0.975</w:t>
            </w:r>
          </w:p>
        </w:tc>
        <w:tc>
          <w:tcPr>
            <w:tcW w:w="1441"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0.976</w:t>
            </w:r>
          </w:p>
        </w:tc>
        <w:tc>
          <w:tcPr>
            <w:tcW w:w="144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0.975</w:t>
            </w:r>
          </w:p>
        </w:tc>
        <w:tc>
          <w:tcPr>
            <w:tcW w:w="1439"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0.980</w:t>
            </w:r>
          </w:p>
        </w:tc>
        <w:tc>
          <w:tcPr>
            <w:tcW w:w="1441"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4,543</w:t>
            </w:r>
          </w:p>
        </w:tc>
      </w:tr>
    </w:tbl>
    <w:p>
      <w:pPr>
        <w:pStyle w:val="Normal"/>
        <w:rPr/>
      </w:pPr>
      <w:r>
        <w:rPr/>
      </w:r>
    </w:p>
    <w:tbl>
      <w:tblPr>
        <w:tblStyle w:val="TableGrid"/>
        <w:tblW w:w="8640"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4320"/>
        <w:gridCol w:w="4320"/>
      </w:tblGrid>
      <w:tr>
        <w:trPr/>
        <w:tc>
          <w:tcPr>
            <w:tcW w:w="432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Metric</w:t>
            </w:r>
          </w:p>
        </w:tc>
        <w:tc>
          <w:tcPr>
            <w:tcW w:w="4320" w:type="dxa"/>
            <w:tcBorders/>
          </w:tcPr>
          <w:p>
            <w:pPr>
              <w:pStyle w:val="Normal"/>
              <w:widowControl/>
              <w:spacing w:lineRule="auto" w:line="240" w:before="0" w:after="0"/>
              <w:jc w:val="start"/>
              <w:rPr>
                <w:rFonts w:ascii="Arial Black" w:hAnsi="Arial Black" w:eastAsia="ＭＳ 明朝" w:cs=""/>
                <w:color w:val="000000"/>
                <w:kern w:val="0"/>
                <w:szCs w:val="22"/>
                <w:lang w:val="en-US" w:eastAsia="en-US" w:bidi="ar-SA"/>
              </w:rPr>
            </w:pPr>
            <w:r>
              <w:rPr>
                <w:rFonts w:eastAsia="ＭＳ 明朝" w:cs="" w:ascii="Arial Black" w:hAnsi="Arial Black"/>
                <w:b/>
                <w:color w:val="000000"/>
                <w:kern w:val="0"/>
                <w:sz w:val="18"/>
                <w:szCs w:val="22"/>
                <w:lang w:val="en-US" w:eastAsia="en-US" w:bidi="ar-SA"/>
              </w:rPr>
              <w:t>Value</w:t>
            </w:r>
          </w:p>
        </w:tc>
      </w:tr>
      <w:tr>
        <w:trPr/>
        <w:tc>
          <w:tcPr>
            <w:tcW w:w="432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Macro F1</w:t>
            </w:r>
          </w:p>
        </w:tc>
        <w:tc>
          <w:tcPr>
            <w:tcW w:w="432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0.967</w:t>
            </w:r>
          </w:p>
        </w:tc>
      </w:tr>
      <w:tr>
        <w:trPr/>
        <w:tc>
          <w:tcPr>
            <w:tcW w:w="432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Exact Match Ratio</w:t>
            </w:r>
          </w:p>
        </w:tc>
        <w:tc>
          <w:tcPr>
            <w:tcW w:w="432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0.942</w:t>
            </w:r>
          </w:p>
        </w:tc>
      </w:tr>
      <w:tr>
        <w:trPr/>
        <w:tc>
          <w:tcPr>
            <w:tcW w:w="432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Hamming Loss</w:t>
            </w:r>
          </w:p>
        </w:tc>
        <w:tc>
          <w:tcPr>
            <w:tcW w:w="4320" w:type="dxa"/>
            <w:tcBorders/>
          </w:tcPr>
          <w:p>
            <w:pPr>
              <w:pStyle w:val="Normal"/>
              <w:widowControl/>
              <w:spacing w:lineRule="auto" w:line="240" w:before="0" w:after="0"/>
              <w:jc w:val="start"/>
              <w:rPr>
                <w:rFonts w:eastAsia="ＭＳ 明朝" w:cs=""/>
                <w:color w:val="000000"/>
                <w:kern w:val="0"/>
                <w:szCs w:val="22"/>
                <w:lang w:val="en-US" w:eastAsia="en-US" w:bidi="ar-SA"/>
              </w:rPr>
            </w:pPr>
            <w:r>
              <w:rPr>
                <w:rFonts w:eastAsia="ＭＳ 明朝" w:cs=""/>
                <w:color w:val="000000"/>
                <w:kern w:val="0"/>
                <w:sz w:val="18"/>
                <w:szCs w:val="22"/>
                <w:lang w:val="en-US" w:eastAsia="en-US" w:bidi="ar-SA"/>
              </w:rPr>
              <w:t>0.016</w:t>
            </w:r>
          </w:p>
        </w:tc>
      </w:tr>
    </w:tbl>
    <w:p>
      <w:pPr>
        <w:pStyle w:val="Normal"/>
        <w:rPr/>
      </w:pPr>
      <w:r>
        <w:rPr/>
      </w:r>
    </w:p>
    <w:p>
      <w:pPr>
        <w:pStyle w:val="Normal"/>
        <w:spacing w:lineRule="exact" w:line="280" w:before="0" w:after="120"/>
        <w:rPr/>
      </w:pPr>
      <w:r>
        <w:rPr>
          <w:sz w:val="20"/>
        </w:rPr>
        <w:t>All five labels exceed 0.94 F1. The rarest class (process_mgmt, 916 test samples) achieves 0.949 F1, confirming the class balancing strategy was effective. The 94.2% exact match ratio means the model correctly predicts the complete label set for the vast majority of API calls. Hamming loss of 0.016 indicates that on average, fewer than 1 in 60 individual label predictions is incorrect.</w:t>
      </w:r>
    </w:p>
    <w:sectPr>
      <w:headerReference w:type="default" r:id="rId2"/>
      <w:type w:val="nextPage"/>
      <w:pgSz w:w="12240" w:h="15840"/>
      <w:pgMar w:left="1800" w:right="1800" w:gutter="0" w:header="1440" w:top="1953"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Arial">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Arial Black">
    <w:charset w:val="01"/>
    <w:family w:val="swiss"/>
    <w:pitch w:val="variable"/>
  </w:font>
  <w:font w:name="Courier New">
    <w:charset w:val="00" w:characterSet="windows-1252"/>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Zijian Wang 40011864</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Arial" w:hAnsi="Arial" w:eastAsia="ＭＳ 明朝" w:cs="" w:cstheme="minorBidi" w:eastAsiaTheme="minorEastAsia"/>
      <w:color w:val="auto"/>
      <w:kern w:val="0"/>
      <w:sz w:val="20"/>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A1A2E"/>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A1A2E"/>
      <w:sz w:val="24"/>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Application>LibreOffice/25.8.5.2$Windows_X86_64 LibreOffice_project/9c8b85f387cc00a89945a79c9e6239f32e450ac2</Application>
  <AppVersion>15.0000</AppVersion>
  <Pages>9</Pages>
  <Words>2194</Words>
  <Characters>14251</Characters>
  <CharactersWithSpaces>16089</CharactersWithSpaces>
  <Paragraphs>342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2026-04-12T21:19:01Z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