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1.5.1.1.1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Описание INPUT-интерфейса пользователя</w:t>
      </w:r>
    </w:p>
    <w:tbl>
      <w:tblPr/>
      <w:tblGrid>
        <w:gridCol w:w="2055"/>
        <w:gridCol w:w="4095"/>
        <w:gridCol w:w="4065"/>
      </w:tblGrid>
      <w:tr>
        <w:trPr>
          <w:trHeight w:val="860" w:hRule="auto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Идентификатор функции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Способ INPUT-потока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Особенности исполнения</w:t>
            </w: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регистрация пользователя)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стандартная компьютерная клавиатура / 2/3-кнопочный манипулятор типа "мышь"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авторизация пользователя)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стандартная компьютерная клавиатура / 2/3-кнопочный манипулятор типа "мышь"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работа с форумом)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стандартная компьютерная клавиатура / 2/3-кнопочный манипулятор типа "мышь"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Получение доступа к курсам(платным/бесплатным))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2/3-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кнопочный манипулятор типа "мышь" / 2/3-кнопочный манипулятор типа "мышь"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Получение доступа к электронной библиотеке)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2/3-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кнопочный манипулятор типа "мышь" / 2/3-кнопочный манипулятор типа "мышь"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FR6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FFFFFF" w:val="clear"/>
              </w:rPr>
              <w:t xml:space="preserve">Совершение видео-звонков)</w:t>
            </w:r>
          </w:p>
        </w:tc>
        <w:tc>
          <w:tcPr>
            <w:tcW w:w="409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2/3-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кнопочный манипулятор типа "мышь" / 2/3-кнопочный манипулятор типа "мышь"</w:t>
            </w:r>
          </w:p>
        </w:tc>
        <w:tc>
          <w:tcPr>
            <w:tcW w:w="40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