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portfolio.block.000"/>
      </w:sdtPr>
      <w:sdtContent>
        <w:p>
          <w:pPr>
            <w:pStyle w:val="Kicker"/>
          </w:pPr>
          <w:r>
            <w:rPr/>
            <w:t>Портфолио</w:t>
          </w:r>
        </w:p>
      </w:sdtContent>
    </w:sdt>
    <w:sdt>
      <w:sdtPr>
        <w:tag w:val="portfolio.block.001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3515"/>
            <w:gridCol w:w="340"/>
            <w:gridCol w:w="6236"/>
          </w:tblGrid>
          <w:tr>
            <w:tc>
              <w:tcPr>
                <w:tcW w:type="dxa" w:w="3515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NarrowTitle"/>
                </w:pPr>
                <w:r>
                  <w:rPr/>
                  <w:t>«Хрустальный корабль»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Объект:</w:t>
                </w:r>
                <w:r>
                  <w:rPr/>
                  <w:t xml:space="preserve"> общественно-деловой центр ПАО «Газпромнефть»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Организация:</w:t>
                </w:r>
                <w:r>
                  <w:rPr/>
                  <w:t xml:space="preserve"> ООО «АТП ТЛП архитекторы и инженеры»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Раздел:</w:t>
                </w:r>
                <w:r>
                  <w:rPr/>
                  <w:t xml:space="preserve"> ОВиК, общеобменная и противодымная вентиляция</w:t>
                </w:r>
              </w:p>
              <w:p>
                <w:pPr>
                  <w:pStyle w:val="Heading2"/>
                </w:pPr>
                <w:r>
                  <w:rPr/>
                  <w:t>Роль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Ведущий инженер-проектировщик ОВиК.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Руководитель расчётной группы.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Ответственность за крупные проектные объёмы корпусов 1 и 2.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623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3960000" cy="2659924"/>
                      <wp:docPr id="1" name="Picture 1" descr="hero-exterior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hero-exterior.jp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60000" cy="2659924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  <w:r>
                  <w:rPr>
                    <w:sz w:val="2"/>
                  </w:rPr>
                </w:r>
              </w:p>
              <w:p>
                <w:pPr>
                  <w:pStyle w:val="Heading2"/>
                </w:pPr>
                <w:r>
                  <w:rPr/>
                  <w:t>Выполнено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проектирование систем общеобменной и противодымной вентиляции корпуса 2.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 полный комплекс аэродинамических расчётов систем корпуса 2.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техническое консультирование в части расчётов противодымной вентиляции.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проектирование систем ОВ надземной части корпуса 1.</w:t>
                </w:r>
              </w:p>
            </w:tc>
          </w:tr>
        </w:tbl>
      </w:sdtContent>
    </w:sdt>
    <w:sdt>
      <w:sdtPr>
        <w:tag w:val="portfolio.block.002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03"/>
      </w:sdtPr>
      <w:sdtContent>
        <w:p>
          <w:pPr>
            <w:spacing w:after="0" w:line="283" w:lineRule="exact"/>
          </w:pPr>
          <w:r>
            <w:rPr>
              <w:sz w:val="2"/>
            </w:rPr>
          </w:r>
        </w:p>
      </w:sdtContent>
    </w:sdt>
    <w:sdt>
      <w:sdtPr>
        <w:tag w:val="portfolio.block.004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876"/>
            <w:gridCol w:w="340"/>
            <w:gridCol w:w="4876"/>
          </w:tblGrid>
          <w:tr>
            <w:tc>
              <w:tcPr>
                <w:tcW w:type="dxa" w:w="487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аэродинамические и акустические расчёты систем сложной конфигурации.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Сформированы ХОВС и ТВО, выполнен подбор вентиляционного и климатического оборудования.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87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расчёты дымовой нагрузки и систем противодымной вентиляции.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BIM-моделирование, подбор сечений и междисциплинарная координация по требованиям и матрицам Заказчика.</w:t>
                </w:r>
              </w:p>
            </w:tc>
          </w:tr>
        </w:tbl>
      </w:sdtContent>
    </w:sdt>
    <w:sdt>
      <w:sdtPr>
        <w:tag w:val="portfolio.block.005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06"/>
      </w:sdtPr>
      <w:sdtContent>
        <w:p>
          <w:r>
            <w:br w:type="page"/>
          </w:r>
        </w:p>
      </w:sdtContent>
    </w:sdt>
    <w:sdt>
      <w:sdtPr>
        <w:tag w:val="portfolio.block.007"/>
      </w:sdtPr>
      <w:sdtContent>
        <w:p>
          <w:pPr>
            <w:pStyle w:val="RunningTitle"/>
          </w:pPr>
          <w:r>
            <w:rPr/>
            <w:t>«Хрустальный корабль»</w:t>
          </w:r>
        </w:p>
      </w:sdtContent>
    </w:sdt>
    <w:sdt>
      <w:sdtPr>
        <w:tag w:val="portfolio.block.008"/>
      </w:sdtPr>
      <w:sdtContent>
        <w:p>
          <w:pPr>
            <w:pStyle w:val="Heading1"/>
          </w:pPr>
          <w:r>
            <w:rPr/>
            <w:t>Межфасадное пространство и обдув фасада</w:t>
          </w:r>
        </w:p>
      </w:sdtContent>
    </w:sdt>
    <w:sdt>
      <w:sdtPr>
        <w:tag w:val="portfolio.block.009"/>
      </w:sdtPr>
      <w:sdtContent>
        <w:p>
          <w:pPr>
            <w:keepLines/>
            <w:spacing w:after="120"/>
          </w:pPr>
          <w:r>
            <w:drawing>
              <wp:inline xmlns:a="http://schemas.openxmlformats.org/drawingml/2006/main" xmlns:pic="http://schemas.openxmlformats.org/drawingml/2006/picture">
                <wp:extent cx="6408000" cy="3767324"/>
                <wp:docPr id="2" name="Picture 2" descr="facade-cfd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cade-cfd.pn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8000" cy="376732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10"/>
      </w:sdtPr>
      <w:sdtContent>
        <w:p>
          <w:pPr>
            <w:spacing w:after="0" w:line="170" w:lineRule="exact"/>
          </w:pPr>
          <w:r>
            <w:rPr>
              <w:sz w:val="2"/>
            </w:rPr>
          </w:r>
        </w:p>
      </w:sdtContent>
    </w:sdt>
    <w:sdt>
      <w:sdtPr>
        <w:tag w:val="portfolio.block.011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5953"/>
            <w:gridCol w:w="340"/>
            <w:gridCol w:w="3798"/>
          </w:tblGrid>
          <w:tr>
            <w:tc>
              <w:tcPr>
                <w:tcW w:type="dxa" w:w="5953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 полный цикл проектирования системы воздушного обдува сложного межфасадного пространства.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Определены схема размещения ВРУ и сопловых устройств, расходы и направления подачи воздуха.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Выполнена оптимизация размещения и характеристик ВРУ с учётом геометрии фасада и требуемого характера воздушных струй.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Проектные решения переданы на CFD-верификацию и скорректированы по результатам расчётных итераций.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3798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2412000" cy="2412000"/>
                      <wp:docPr id="3" name="Picture 3" descr="crystal-navisworks-underground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crystal-navisworks-pending.png"/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2000" cy="2412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sdt>
      <w:sdtPr>
        <w:tag w:val="portfolio.block.012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13"/>
      </w:sdtPr>
      <w:sdtContent>
        <w:p>
          <w:r>
            <w:br w:type="page"/>
          </w:r>
        </w:p>
      </w:sdtContent>
    </w:sdt>
    <w:sdt>
      <w:sdtPr>
        <w:tag w:val="portfolio.block.014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5329"/>
            <w:gridCol w:w="340"/>
            <w:gridCol w:w="4422"/>
          </w:tblGrid>
          <w:tr>
            <w:tc>
              <w:tcPr>
                <w:tcW w:type="dxa" w:w="5329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Title"/>
                </w:pPr>
                <w:r>
                  <w:rPr/>
                  <w:t>«Лахта Центр»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Объект:</w:t>
                </w:r>
                <w:r>
                  <w:rPr/>
                  <w:t xml:space="preserve"> «Лахта Центр»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Организации:</w:t>
                </w:r>
                <w:r>
                  <w:rPr/>
                  <w:t xml:space="preserve"> ООО «Электропроф», ООО «Ланит-Интеграция»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Разделы:</w:t>
                </w:r>
                <w:r>
                  <w:rPr/>
                  <w:t xml:space="preserve"> механические инженерные системы; ОВ2, 4-й этап</w:t>
                </w:r>
              </w:p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  <w:r>
                  <w:rPr>
                    <w:sz w:val="2"/>
                  </w:rPr>
                </w:r>
              </w:p>
              <w:p>
                <w:pPr>
                  <w:pStyle w:val="Heading2"/>
                </w:pPr>
                <w:r>
                  <w:rPr/>
                  <w:t>Роль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Инженер ПТО на 14-м и 24-м этапах.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Ведущий инженер ПТО на 4-м этапе ОВ2.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Координация взаимодействия отделов ген- и субподрядной организаций.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42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2808000" cy="4212000"/>
                      <wp:docPr id="4" name="Picture 4" descr="hero-exterior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hero-exterior.jpg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08000" cy="4212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sdt>
      <w:sdtPr>
        <w:tag w:val="portfolio.block.015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16"/>
      </w:sdtPr>
      <w:sdtContent>
        <w:p>
          <w:pPr>
            <w:spacing w:after="0" w:line="283" w:lineRule="exact"/>
          </w:pPr>
          <w:r>
            <w:rPr>
              <w:sz w:val="2"/>
            </w:rPr>
          </w:r>
        </w:p>
      </w:sdtContent>
    </w:sdt>
    <w:sdt>
      <w:sdtPr>
        <w:tag w:val="portfolio.block.017"/>
      </w:sdtPr>
      <w:sdtContent>
        <w:p>
          <w:pPr>
            <w:pStyle w:val="Heading2"/>
          </w:pPr>
          <w:r>
            <w:rPr/>
            <w:t>Выполнено</w:t>
          </w:r>
        </w:p>
      </w:sdtContent>
    </w:sdt>
    <w:sdt>
      <w:sdtPr>
        <w:tag w:val="portfolio.block.018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876"/>
            <w:gridCol w:w="340"/>
            <w:gridCol w:w="4876"/>
          </w:tblGrid>
          <w:tr>
            <w:tc>
              <w:tcPr>
                <w:tcW w:type="dxa" w:w="487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документальное сопровождение СМР по механическим инженерным системам.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Сформирована и сдана исполнительная документация.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Подготовлены исполнительные схемы и ведомости объёмов выполненных работ.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87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Организована подготовка исполнительной документации по всему разделу ОВ2 4-го этапа, охватывавшего fit-out на 44 этажах башни.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Организованы замеры и подготовка исполнительных схем для последующей защиты выполненных объёмов производителями работ.</w:t>
                </w:r>
              </w:p>
            </w:tc>
          </w:tr>
        </w:tbl>
      </w:sdtContent>
    </w:sdt>
    <w:sdt>
      <w:sdtPr>
        <w:tag w:val="portfolio.block.019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20"/>
      </w:sdtPr>
      <w:sdtContent>
        <w:p>
          <w:r>
            <w:br w:type="page"/>
          </w:r>
        </w:p>
      </w:sdtContent>
    </w:sdt>
    <w:sdt>
      <w:sdtPr>
        <w:tag w:val="portfolio.block.021"/>
      </w:sdtPr>
      <w:sdtContent>
        <w:p>
          <w:pPr>
            <w:pStyle w:val="RunningTitle"/>
          </w:pPr>
          <w:r>
            <w:rPr/>
            <w:t>«Лахта Центр»</w:t>
          </w:r>
        </w:p>
      </w:sdtContent>
    </w:sdt>
    <w:sdt>
      <w:sdtPr>
        <w:tag w:val="portfolio.block.02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252"/>
            <w:gridCol w:w="340"/>
            <w:gridCol w:w="5499"/>
          </w:tblGrid>
          <w:tr>
            <w:tc>
              <w:tcPr>
                <w:tcW w:type="dxa" w:w="425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Выполнено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Инициировано создание совместной Revit-модели раздела.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Исполнители обучены работе в Revit.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Создана база Revit-семейств для задач исполнительной документации.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Разработаны специализированные утилиты для автоматизированного сбора ведомостей и оформления исполнительных схем.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5499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3492000" cy="2455871"/>
                      <wp:docPr id="5" name="Picture 5" descr="technical-sheet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technical-sheet.png"/>
                              <pic:cNvPicPr/>
                            </pic:nvPicPr>
                            <pic:blipFill>
                              <a:blip r:embed="rId14"/>
                              <a:srcRect l="18000" t="4000" r="17000" b="5000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92000" cy="2455871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sdt>
      <w:sdtPr>
        <w:tag w:val="portfolio.block.023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24"/>
      </w:sdtPr>
      <w:sdtContent>
        <w:p>
          <w:pPr>
            <w:spacing w:after="0" w:line="340" w:lineRule="exact"/>
          </w:pPr>
          <w:r>
            <w:rPr>
              <w:sz w:val="2"/>
            </w:rPr>
          </w:r>
        </w:p>
      </w:sdtContent>
    </w:sdt>
    <w:sdt>
      <w:sdtPr>
        <w:tag w:val="portfolio.block.025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6123"/>
            <w:gridCol w:w="340"/>
            <w:gridCol w:w="3628"/>
          </w:tblGrid>
          <w:tr>
            <w:tc>
              <w:tcPr>
                <w:tcW w:type="dxa" w:w="6123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3888000" cy="2916000"/>
                      <wp:docPr id="6" name="Picture 6" descr="lakhta-ventilation-overview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lakhta-ventilation-pending.png"/>
                              <pic:cNvPicPr/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88000" cy="2916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3628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Согласована со строительным контролем передача и подтверждение части объёмов в цифровом формате.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Сформированы технические решения, выполнено согласование с авторским надзором и контроль реализации решений на площадке.</w:t>
                </w:r>
              </w:p>
            </w:tc>
          </w:tr>
        </w:tbl>
      </w:sdtContent>
    </w:sdt>
    <w:sdt>
      <w:sdtPr>
        <w:tag w:val="portfolio.block.026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27"/>
      </w:sdtPr>
      <w:sdtContent>
        <w:p>
          <w:r>
            <w:br w:type="page"/>
          </w:r>
        </w:p>
      </w:sdtContent>
    </w:sdt>
    <w:sdt>
      <w:sdtPr>
        <w:tag w:val="portfolio.block.028"/>
      </w:sdtPr>
      <w:sdtContent>
        <w:p>
          <w:pPr>
            <w:pStyle w:val="Title"/>
          </w:pPr>
          <w:r>
            <w:rPr/>
            <w:t>Прочие объекты</w:t>
          </w:r>
        </w:p>
      </w:sdtContent>
    </w:sdt>
    <w:sdt>
      <w:sdtPr>
        <w:tag w:val="portfolio.block.029"/>
      </w:sdtPr>
      <w:sdtContent>
        <w:p>
          <w:pPr>
            <w:spacing w:after="0" w:line="170" w:lineRule="exact"/>
          </w:pPr>
          <w:r>
            <w:rPr>
              <w:sz w:val="2"/>
            </w:rPr>
          </w:r>
        </w:p>
      </w:sdtContent>
    </w:sdt>
    <w:sdt>
      <w:sdtPr>
        <w:tag w:val="portfolio.block.030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3345"/>
            <w:gridCol w:w="340"/>
            <w:gridCol w:w="6406"/>
          </w:tblGrid>
          <w:tr>
            <w:tc>
              <w:tcPr>
                <w:tcW w:type="dxa" w:w="3345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Высотное здание в Москве, 60+ этажей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640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 расчёт теплопритоков в HAP 4.90.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Исходные данные сопоставлены со сводной моделью Navisworks.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Разработана утилита преобразования XLS-таблиц в формат, пригодный для автоматизированной загрузки данных через gbXML.</w:t>
                </w:r>
              </w:p>
            </w:tc>
          </w:tr>
        </w:tbl>
      </w:sdtContent>
    </w:sdt>
    <w:sdt>
      <w:sdtPr>
        <w:tag w:val="portfolio.block.031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3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3345"/>
            <w:gridCol w:w="340"/>
            <w:gridCol w:w="6406"/>
          </w:tblGrid>
          <w:tr>
            <w:tc>
              <w:tcPr>
                <w:tcW w:type="dxa" w:w="3345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Многофункциональный жилой комплекс на Шмитовском проезде, Москва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640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Выпущены четыре комплекта РД: общеобменная вентиляция и кондиционирование корпусов 6 и 7.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 составе адаптации выполнены планы, аксонометрические схемы, спецификации и подбор оборудования.</w:t>
                </w:r>
              </w:p>
            </w:tc>
          </w:tr>
        </w:tbl>
      </w:sdtContent>
    </w:sdt>
    <w:sdt>
      <w:sdtPr>
        <w:tag w:val="portfolio.block.033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34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3345"/>
            <w:gridCol w:w="340"/>
            <w:gridCol w:w="6406"/>
          </w:tblGrid>
          <w:tr>
            <w:tc>
              <w:tcPr>
                <w:tcW w:type="dxa" w:w="3345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Жилой комплекс, г. Кингисепп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640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BIM-моделирование внутренних сетей ВК в Revit для трёх корпусов жилого комплекса.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Модели разработаны по исходной проектной документации DWG/PDF.</w:t>
                </w:r>
              </w:p>
            </w:tc>
          </w:tr>
        </w:tbl>
      </w:sdtContent>
    </w:sdt>
    <w:sdt>
      <w:sdtPr>
        <w:tag w:val="portfolio.block.035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36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3345"/>
            <w:gridCol w:w="340"/>
            <w:gridCol w:w="6406"/>
          </w:tblGrid>
          <w:tr>
            <w:tc>
              <w:tcPr>
                <w:tcW w:type="dxa" w:w="3345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ВОЛС, г. Сургут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640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Объект по прокладке ВОЛС на подряде у Газпрома доведён до финальной сдачи.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сопровождение исполнительной и закрывающей документации до КС-11 и КС-14.</w:t>
                </w:r>
              </w:p>
            </w:tc>
          </w:tr>
        </w:tbl>
      </w:sdtContent>
    </w:sdt>
    <w:sdt>
      <w:sdtPr>
        <w:tag w:val="portfolio.block.037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38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3345"/>
            <w:gridCol w:w="340"/>
            <w:gridCol w:w="6406"/>
          </w:tblGrid>
          <w:tr>
            <w:tc>
              <w:tcPr>
                <w:tcW w:type="dxa" w:w="3345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Аэропорт Левашово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640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ведомости МТР.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Выполнена координация подрядных организаций и участие в производственных совещаниях.</w:t>
                </w:r>
              </w:p>
            </w:tc>
          </w:tr>
        </w:tbl>
      </w:sdtContent>
    </w:sdt>
    <w:sdt>
      <w:sdtPr>
        <w:tag w:val="portfolio.block.039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40"/>
      </w:sdtPr>
      <w:sdtContent>
        <w:p>
          <w:r>
            <w:br w:type="page"/>
          </w:r>
        </w:p>
      </w:sdtContent>
    </w:sdt>
    <w:sdt>
      <w:sdtPr>
        <w:tag w:val="portfolio.block.041"/>
      </w:sdtPr>
      <w:sdtContent>
        <w:p>
          <w:pPr>
            <w:pStyle w:val="Title"/>
          </w:pPr>
          <w:r>
            <w:rPr/>
            <w:t>WorkflowPanel</w:t>
          </w:r>
        </w:p>
      </w:sdtContent>
    </w:sdt>
    <w:sdt>
      <w:sdtPr>
        <w:tag w:val="portfolio.block.042"/>
      </w:sdtPr>
      <w:sdtContent>
        <w:p>
          <w:pPr>
            <w:pStyle w:val="Body"/>
          </w:pPr>
          <w:r>
            <w:rPr/>
            <w:t>Компактное Windows-приложение для контролируемого обмена файлами между локальным Git-репозиторием, deploy-каталогом и GitHub.</w:t>
          </w:r>
        </w:p>
      </w:sdtContent>
    </w:sdt>
    <w:sdt>
      <w:sdtPr>
        <w:tag w:val="portfolio.block.043"/>
      </w:sdtPr>
      <w:sdtContent>
        <w:p>
          <w:pPr>
            <w:spacing w:after="0" w:line="170" w:lineRule="exact"/>
          </w:pPr>
          <w:r>
            <w:rPr>
              <w:sz w:val="2"/>
            </w:rPr>
          </w:r>
        </w:p>
      </w:sdtContent>
    </w:sdt>
    <w:sdt>
      <w:sdtPr>
        <w:tag w:val="portfolio.block.044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6236"/>
            <w:gridCol w:w="340"/>
            <w:gridCol w:w="3515"/>
          </w:tblGrid>
          <w:tr>
            <w:tc>
              <w:tcPr>
                <w:tcW w:type="dxa" w:w="623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3960000" cy="2341794"/>
                      <wp:docPr id="7" name="Picture 7" descr="main-window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in-window.png"/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60000" cy="2341794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3515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Архитектура и технологии</w:t>
                </w:r>
              </w:p>
              <w:p>
                <w:pPr>
                  <w:pStyle w:val="Tech"/>
                </w:pPr>
                <w:r>
                  <w:rPr/>
                  <w:t>Windows Forms.</w:t>
                </w:r>
              </w:p>
              <w:p>
                <w:pPr>
                  <w:pStyle w:val="Tech"/>
                </w:pPr>
                <w:r>
                  <w:rPr/>
                  <w:t>PowerShell с модульной структурой исходного кода.</w:t>
                </w:r>
              </w:p>
              <w:p>
                <w:pPr>
                  <w:pStyle w:val="Tech"/>
                </w:pPr>
                <w:r>
                  <w:rPr/>
                  <w:t>JSON-профили.</w:t>
                </w:r>
              </w:p>
              <w:p>
                <w:pPr>
                  <w:pStyle w:val="Tech"/>
                </w:pPr>
                <w:r>
                  <w:rPr/>
                  <w:t>Git и GitHub.</w:t>
                </w:r>
              </w:p>
              <w:p>
                <w:pPr>
                  <w:pStyle w:val="Tech"/>
                </w:pPr>
                <w:r>
                  <w:rPr/>
                  <w:t>Сборка самостоятельного Windows-приложения через PS2EXE.</w:t>
                </w:r>
              </w:p>
            </w:tc>
          </w:tr>
        </w:tbl>
      </w:sdtContent>
    </w:sdt>
    <w:sdt>
      <w:sdtPr>
        <w:tag w:val="portfolio.block.045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46"/>
      </w:sdtPr>
      <w:sdtContent>
        <w:p>
          <w:pPr>
            <w:spacing w:after="0" w:line="283" w:lineRule="exact"/>
          </w:pPr>
          <w:r>
            <w:rPr>
              <w:sz w:val="2"/>
            </w:rPr>
          </w:r>
        </w:p>
      </w:sdtContent>
    </w:sdt>
    <w:sdt>
      <w:sdtPr>
        <w:tag w:val="portfolio.block.047"/>
      </w:sdtPr>
      <w:sdtContent>
        <w:p>
          <w:pPr>
            <w:pStyle w:val="Heading2"/>
          </w:pPr>
          <w:r>
            <w:rPr/>
            <w:t>Реализовано</w:t>
          </w:r>
        </w:p>
      </w:sdtContent>
    </w:sdt>
    <w:sdt>
      <w:sdtPr>
        <w:tag w:val="portfolio.block.048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876"/>
            <w:gridCol w:w="340"/>
            <w:gridCol w:w="4876"/>
          </w:tblGrid>
          <w:tr>
            <w:tc>
              <w:tcPr>
                <w:tcW w:type="dxa" w:w="487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Профили для отдельных репозиториев и рабочих процессов с независимыми правилами обмена в каждом направлении.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Четыре основные операции: To Deploy, From Deploy, To GitHub, From GitHub.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Безопасное выполнение Git-операций без автоматических stash, reset, clean, restore, merge и rebase.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Планирование изменений перед потенциально разрушающим импортом из deploy-каталога.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87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Работа с GitHub: проверка доступа, clone, fast-forward update, целевой commit и push.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Редактор профилей с настройкой путей, GitHub-параметров и правил переноса файлов.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Поддержка режимов exact, structural и flat, ограничений глубины, а также Current/Archive-сценариев.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Фоновое выполнение длительных операций с журналированием состояния и результатов.</w:t>
                </w:r>
              </w:p>
            </w:tc>
          </w:tr>
        </w:tbl>
      </w:sdtContent>
    </w:sdt>
    <w:sdt>
      <w:sdtPr>
        <w:tag w:val="portfolio.block.049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ectPr w:rsidR="00FC693F" w:rsidRPr="0006063C" w:rsidSect="00034616">
      <w:footerReference w:type="default" r:id="rId9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808" w:val="left"/>
      </w:tabs>
      <w:spacing w:after="0"/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80" w:line="269" w:lineRule="auto"/>
    </w:pPr>
    <w:rPr>
      <w:rFonts w:ascii="Calibri" w:hAnsi="Calibri"/>
      <w:b w:val="0"/>
      <w:color w:val="202B31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60" w:line="269" w:lineRule="auto"/>
    </w:pPr>
    <w:rPr>
      <w:rFonts w:ascii="Arial" w:hAnsi="Arial"/>
      <w:b/>
      <w:color w:val="24636B"/>
      <w:sz w:val="34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120" w:line="269" w:lineRule="auto"/>
    </w:pPr>
    <w:rPr>
      <w:rFonts w:ascii="Calibri" w:hAnsi="Calibri"/>
      <w:b/>
      <w:color w:val="24636B"/>
      <w:sz w:val="2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40" w:line="269" w:lineRule="auto"/>
    </w:pPr>
    <w:rPr>
      <w:rFonts w:ascii="Arial" w:hAnsi="Arial"/>
      <w:b/>
      <w:color w:val="000000"/>
      <w:sz w:val="58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keepNext w:val="0"/>
      <w:keepLines/>
      <w:widowControl/>
      <w:spacing w:before="0" w:after="80" w:line="269" w:lineRule="auto"/>
    </w:pPr>
    <w:rPr>
      <w:rFonts w:ascii="Calibri" w:hAnsi="Calibri"/>
      <w:b w:val="0"/>
      <w:color w:val="202B31"/>
      <w:sz w:val="22"/>
      <w:lang w:val="ru-RU"/>
    </w:rPr>
  </w:style>
  <w:style w:type="paragraph" w:customStyle="1" w:styleId="Meta">
    <w:name w:val="Meta"/>
    <w:pPr>
      <w:keepNext w:val="0"/>
      <w:keepLines/>
      <w:widowControl/>
      <w:spacing w:before="0" w:after="120" w:line="269" w:lineRule="auto"/>
    </w:pPr>
    <w:rPr>
      <w:rFonts w:ascii="Calibri" w:hAnsi="Calibri"/>
      <w:b w:val="0"/>
      <w:color w:val="536269"/>
      <w:sz w:val="19"/>
      <w:lang w:val="ru-RU"/>
    </w:rPr>
  </w:style>
  <w:style w:type="paragraph" w:customStyle="1" w:styleId="Tech">
    <w:name w:val="Tech"/>
    <w:pPr>
      <w:keepNext w:val="0"/>
      <w:keepLines/>
      <w:widowControl/>
      <w:spacing w:before="0" w:after="40" w:line="269" w:lineRule="auto"/>
    </w:pPr>
    <w:rPr>
      <w:rFonts w:ascii="Calibri" w:hAnsi="Calibri"/>
      <w:b w:val="0"/>
      <w:color w:val="536269"/>
      <w:sz w:val="20"/>
      <w:lang w:val="ru-RU"/>
    </w:rPr>
  </w:style>
  <w:style w:type="paragraph" w:customStyle="1" w:styleId="NarrowTitle">
    <w:name w:val="NarrowTitle"/>
    <w:pPr>
      <w:keepNext/>
      <w:keepLines/>
      <w:widowControl/>
      <w:spacing w:before="0" w:after="240" w:line="269" w:lineRule="auto"/>
    </w:pPr>
    <w:rPr>
      <w:rFonts w:ascii="Arial" w:hAnsi="Arial"/>
      <w:b/>
      <w:color w:val="000000"/>
      <w:sz w:val="42"/>
      <w:lang w:val="ru-RU"/>
    </w:rPr>
  </w:style>
  <w:style w:type="paragraph" w:customStyle="1" w:styleId="RunningTitle">
    <w:name w:val="RunningTitle"/>
    <w:pPr>
      <w:keepNext/>
      <w:keepLines/>
      <w:widowControl/>
      <w:spacing w:before="0" w:after="240" w:line="269" w:lineRule="auto"/>
    </w:pPr>
    <w:rPr>
      <w:rFonts w:ascii="Arial" w:hAnsi="Arial"/>
      <w:b w:val="0"/>
      <w:color w:val="000000"/>
      <w:sz w:val="42"/>
      <w:lang w:val="ru-RU"/>
    </w:rPr>
  </w:style>
  <w:style w:type="paragraph" w:customStyle="1" w:styleId="Kicker">
    <w:name w:val="Kicker"/>
    <w:pPr>
      <w:keepNext/>
      <w:keepLines/>
      <w:widowControl/>
      <w:spacing w:before="0" w:after="160" w:line="269" w:lineRule="auto"/>
    </w:pPr>
    <w:rPr>
      <w:rFonts w:ascii="Calibri" w:hAnsi="Calibri"/>
      <w:b/>
      <w:color w:val="24636B"/>
      <w:sz w:val="18"/>
      <w:lang w:val="ru-RU"/>
    </w:rPr>
  </w:style>
  <w:style w:type="paragraph" w:customStyle="1" w:styleId="Bullet">
    <w:name w:val="Bullet"/>
    <w:pPr>
      <w:keepNext w:val="0"/>
      <w:keepLines/>
      <w:widowControl/>
      <w:spacing w:before="0" w:after="80" w:line="269" w:lineRule="auto"/>
      <w:ind w:left="170" w:hanging="170"/>
    </w:pPr>
    <w:rPr>
      <w:rFonts w:ascii="Calibri" w:hAnsi="Calibri"/>
      <w:b w:val="0"/>
      <w:color w:val="202B31"/>
      <w:sz w:val="2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>Концепция D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