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portfolio.block.000"/>
      </w:sdtPr>
      <w:sdtContent>
        <w:p>
          <w:pPr>
            <w:pStyle w:val="Kicker"/>
          </w:pPr>
          <w:r>
            <w:rPr/>
            <w:t>Портфолио</w:t>
          </w:r>
        </w:p>
      </w:sdtContent>
    </w:sdt>
    <w:sdt>
      <w:sdtPr>
        <w:tag w:val="portfolio.block.001"/>
      </w:sdtPr>
      <w:sdtContent>
        <w:p>
          <w:pPr>
            <w:pStyle w:val="Title"/>
          </w:pPr>
          <w:r>
            <w:rPr/>
            <w:t>«Хрустальный корабль»</w:t>
          </w:r>
        </w:p>
      </w:sdtContent>
    </w:sdt>
    <w:sdt>
      <w:sdtPr>
        <w:tag w:val="portfolio.block.002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6803"/>
            <w:gridCol w:w="340"/>
            <w:gridCol w:w="2721"/>
          </w:tblGrid>
          <w:tr>
            <w:tc>
              <w:tcPr>
                <w:tcW w:type="dxa" w:w="6803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keepLines/>
                  <w:spacing w:after="12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4320000" cy="2901735"/>
                      <wp:docPr id="1" name="Picture 1" descr="hero-exterior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hero-exterior.jp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20000" cy="2901735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2721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Meta"/>
                </w:pPr>
                <w:r>
                  <w:rPr/>
                </w:r>
                <w:r>
                  <w:rPr>
                    <w:b/>
                  </w:rPr>
                  <w:t>Объект:</w:t>
                </w:r>
                <w:r>
                  <w:rPr/>
                  <w:t xml:space="preserve"> общественно-деловой центр ПАО «Газпромнефть»</w:t>
                </w:r>
              </w:p>
              <w:p>
                <w:pPr>
                  <w:pStyle w:val="Meta"/>
                </w:pPr>
                <w:r>
                  <w:rPr/>
                </w:r>
                <w:r>
                  <w:rPr>
                    <w:b/>
                  </w:rPr>
                  <w:t>Организация:</w:t>
                </w:r>
                <w:r>
                  <w:rPr/>
                  <w:t xml:space="preserve"> ООО «АТП ТЛП архитекторы и инженеры»</w:t>
                </w:r>
              </w:p>
              <w:p>
                <w:pPr>
                  <w:pStyle w:val="Meta"/>
                </w:pPr>
                <w:r>
                  <w:rPr/>
                </w:r>
                <w:r>
                  <w:rPr>
                    <w:b/>
                  </w:rPr>
                  <w:t>Раздел:</w:t>
                </w:r>
                <w:r>
                  <w:rPr/>
                  <w:t xml:space="preserve"> ОВиК, общеобменная и противодымная вентиляция</w:t>
                </w:r>
              </w:p>
              <w:p>
                <w:pPr>
                  <w:pStyle w:val="Heading2"/>
                </w:pPr>
                <w:r>
                  <w:rPr/>
                  <w:t>Роль</w:t>
                </w:r>
              </w:p>
              <w:p>
                <w:pPr>
                  <w:pStyle w:val="Meta"/>
                </w:pPr>
                <w:r>
                  <w:rPr/>
                  <w:t>Ведущий инженер-проектировщик ОВиК.</w:t>
                </w:r>
              </w:p>
              <w:p>
                <w:pPr>
                  <w:pStyle w:val="Meta"/>
                </w:pPr>
                <w:r>
                  <w:rPr/>
                  <w:t>Руководитель расчётной группы.</w:t>
                </w:r>
              </w:p>
              <w:p>
                <w:pPr>
                  <w:pStyle w:val="Meta"/>
                </w:pPr>
                <w:r>
                  <w:rPr/>
                  <w:t>Ответственность за крупные проектные объёмы корпусов 1 и 2.</w:t>
                </w:r>
              </w:p>
            </w:tc>
          </w:tr>
        </w:tbl>
      </w:sdtContent>
    </w:sdt>
    <w:sdt>
      <w:sdtPr>
        <w:tag w:val="portfolio.block.003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04"/>
      </w:sdtPr>
      <w:sdtContent>
        <w:p>
          <w:pPr>
            <w:spacing w:after="0" w:line="283" w:lineRule="exact"/>
          </w:pPr>
          <w:r>
            <w:rPr>
              <w:sz w:val="2"/>
            </w:rPr>
          </w:r>
        </w:p>
      </w:sdtContent>
    </w:sdt>
    <w:sdt>
      <w:sdtPr>
        <w:tag w:val="portfolio.block.005"/>
      </w:sdtPr>
      <w:sdtContent>
        <w:p>
          <w:pPr>
            <w:pStyle w:val="Heading2"/>
          </w:pPr>
          <w:r>
            <w:rPr/>
            <w:t>Выполнено</w:t>
          </w:r>
        </w:p>
      </w:sdtContent>
    </w:sdt>
    <w:sdt>
      <w:sdtPr>
        <w:tag w:val="portfolio.block.006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4762"/>
            <w:gridCol w:w="340"/>
            <w:gridCol w:w="4762"/>
          </w:tblGrid>
          <w:tr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проектирование систем общеобменной и противодымной вентиляции корпуса 2.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 полный комплекс аэродинамических расчётов систем корпуса 2.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техническое консультирование в части расчётов противодымной вентиляции.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проектирование систем ОВ надземной части корпуса 1.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Выполнены аэродинамические и акустические расчёты систем сложной конфигурации.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Сформированы ХОВС и ТВО, выполнен подбор вентиляционного и климатического оборудования.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Выполнены расчёты дымовой нагрузки и систем противодымной вентиляции.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Выполнены BIM-моделирование, подбор сечений и междисциплинарная координация по требованиям и матрицам Заказчика.</w:t>
                </w:r>
              </w:p>
            </w:tc>
          </w:tr>
        </w:tbl>
      </w:sdtContent>
    </w:sdt>
    <w:sdt>
      <w:sdtPr>
        <w:tag w:val="portfolio.block.007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08"/>
      </w:sdtPr>
      <w:sdtContent>
        <w:p>
          <w:r>
            <w:br w:type="page"/>
          </w:r>
        </w:p>
      </w:sdtContent>
    </w:sdt>
    <w:sdt>
      <w:sdtPr>
        <w:tag w:val="portfolio.block.009"/>
      </w:sdtPr>
      <w:sdtContent>
        <w:p>
          <w:pPr>
            <w:pStyle w:val="RunningTitle"/>
          </w:pPr>
          <w:r>
            <w:rPr/>
            <w:t>«Хрустальный корабль»</w:t>
          </w:r>
        </w:p>
      </w:sdtContent>
    </w:sdt>
    <w:sdt>
      <w:sdtPr>
        <w:tag w:val="portfolio.block.010"/>
      </w:sdtPr>
      <w:sdtContent>
        <w:p>
          <w:pPr>
            <w:pStyle w:val="Heading1"/>
          </w:pPr>
          <w:r>
            <w:rPr/>
            <w:t>Межфасадное пространство и обдув фасада</w:t>
          </w:r>
        </w:p>
      </w:sdtContent>
    </w:sdt>
    <w:sdt>
      <w:sdtPr>
        <w:tag w:val="portfolio.block.011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5556"/>
            <w:gridCol w:w="340"/>
            <w:gridCol w:w="3969"/>
          </w:tblGrid>
          <w:tr>
            <w:tc>
              <w:tcPr>
                <w:tcW w:type="dxa" w:w="5556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 полный цикл проектирования системы воздушного обдува сложного межфасадного пространства.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Определены схема размещения ВРУ и сопловых устройств, расходы и направления подачи воздуха.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Выполнена оптимизация размещения и характеристик ВРУ с учётом геометрии фасада и требуемого характера воздушных струй.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Проектные решения переданы на CFD-верификацию и скорректированы по результатам расчётных итераций.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CFD-моделированием подтверждены прогрев внутренней поверхности наружного остекления, снижение относительной влажности и отсутствие конденсации в критических зонах при расчётных условиях.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3969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keepLines/>
                  <w:spacing w:after="12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2520000" cy="2520000"/>
                      <wp:docPr id="2" name="Picture 2" descr="crystal-navisworks-underground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crystal-navisworks-pending.png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20000" cy="2520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</w:sdtContent>
    </w:sdt>
    <w:sdt>
      <w:sdtPr>
        <w:tag w:val="portfolio.block.012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13"/>
      </w:sdtPr>
      <w:sdtContent>
        <w:p>
          <w:pPr>
            <w:spacing w:after="0" w:line="340" w:lineRule="exact"/>
          </w:pPr>
          <w:r>
            <w:rPr>
              <w:sz w:val="2"/>
            </w:rPr>
          </w:r>
        </w:p>
      </w:sdtContent>
    </w:sdt>
    <w:sdt>
      <w:sdtPr>
        <w:tag w:val="portfolio.block.014"/>
      </w:sdtPr>
      <w:sdtContent>
        <w:p>
          <w:pPr>
            <w:keepLines/>
            <w:spacing w:after="120"/>
          </w:pPr>
          <w:r>
            <w:drawing>
              <wp:inline xmlns:a="http://schemas.openxmlformats.org/drawingml/2006/main" xmlns:pic="http://schemas.openxmlformats.org/drawingml/2006/picture">
                <wp:extent cx="6264000" cy="3682665"/>
                <wp:docPr id="3" name="Picture 3" descr="facade-cfd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cade-cfd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000" cy="36826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ortfolio.block.015"/>
      </w:sdtPr>
      <w:sdtContent>
        <w:p>
          <w:r>
            <w:br w:type="page"/>
          </w:r>
        </w:p>
      </w:sdtContent>
    </w:sdt>
    <w:sdt>
      <w:sdtPr>
        <w:tag w:val="portfolio.block.016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4422"/>
            <w:gridCol w:w="340"/>
            <w:gridCol w:w="5102"/>
          </w:tblGrid>
          <w:tr>
            <w:tc>
              <w:tcPr>
                <w:tcW w:type="dxa" w:w="442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keepLines/>
                  <w:spacing w:after="12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2808000" cy="4212000"/>
                      <wp:docPr id="4" name="Picture 4" descr="hero-exterior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hero-exterior.jpg"/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08000" cy="4212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510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Title"/>
                </w:pPr>
                <w:r>
                  <w:rPr/>
                  <w:t>«Лахта Центр»</w:t>
                </w:r>
              </w:p>
              <w:p>
                <w:pPr>
                  <w:pStyle w:val="Meta"/>
                </w:pPr>
                <w:r>
                  <w:rPr/>
                </w:r>
                <w:r>
                  <w:rPr>
                    <w:b/>
                  </w:rPr>
                  <w:t>Объект:</w:t>
                </w:r>
                <w:r>
                  <w:rPr/>
                  <w:t xml:space="preserve"> «Лахта Центр»</w:t>
                </w:r>
              </w:p>
              <w:p>
                <w:pPr>
                  <w:pStyle w:val="Meta"/>
                </w:pPr>
                <w:r>
                  <w:rPr/>
                </w:r>
                <w:r>
                  <w:rPr>
                    <w:b/>
                  </w:rPr>
                  <w:t>Организации:</w:t>
                </w:r>
                <w:r>
                  <w:rPr/>
                  <w:t xml:space="preserve"> ООО «Электропроф», ООО «Ланит-Интеграция»</w:t>
                </w:r>
              </w:p>
              <w:p>
                <w:pPr>
                  <w:pStyle w:val="Meta"/>
                </w:pPr>
                <w:r>
                  <w:rPr/>
                </w:r>
                <w:r>
                  <w:rPr>
                    <w:b/>
                  </w:rPr>
                  <w:t>Разделы:</w:t>
                </w:r>
                <w:r>
                  <w:rPr/>
                  <w:t xml:space="preserve"> механические инженерные системы; ОВ2, 4-й этап</w:t>
                </w:r>
              </w:p>
              <w:p>
                <w:pPr>
                  <w:pStyle w:val="Heading2"/>
                </w:pPr>
                <w:r>
                  <w:rPr/>
                  <w:t>Роль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Инженер ПТО на 14-м и 24-м этапах.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Ведущий инженер ПТО на 4-м этапе ОВ2.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Координация взаимодействия отделов ген- и субподрядной организаций.</w:t>
                </w:r>
              </w:p>
            </w:tc>
          </w:tr>
        </w:tbl>
      </w:sdtContent>
    </w:sdt>
    <w:sdt>
      <w:sdtPr>
        <w:tag w:val="portfolio.block.017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18"/>
      </w:sdtPr>
      <w:sdtContent>
        <w:p>
          <w:pPr>
            <w:spacing w:after="0" w:line="340" w:lineRule="exact"/>
          </w:pPr>
          <w:r>
            <w:rPr>
              <w:sz w:val="2"/>
            </w:rPr>
          </w:r>
        </w:p>
      </w:sdtContent>
    </w:sdt>
    <w:sdt>
      <w:sdtPr>
        <w:tag w:val="portfolio.block.019"/>
      </w:sdtPr>
      <w:sdtContent>
        <w:p>
          <w:pPr>
            <w:pStyle w:val="Heading2"/>
          </w:pPr>
          <w:r>
            <w:rPr/>
            <w:t>Выполнено</w:t>
          </w:r>
        </w:p>
      </w:sdtContent>
    </w:sdt>
    <w:sdt>
      <w:sdtPr>
        <w:tag w:val="portfolio.block.020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4762"/>
            <w:gridCol w:w="340"/>
            <w:gridCol w:w="4762"/>
          </w:tblGrid>
          <w:tr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документальное сопровождение СМР по механическим инженерным системам.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Сформирована и сдана исполнительная документация.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Подготовлены исполнительные схемы и ведомости объёмов выполненных работ.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Организована подготовка исполнительной документации по всему разделу ОВ2 4-го этапа, охватывавшего fit-out на 44 этажах башни.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Организованы замеры и подготовка исполнительных схем для последующей защиты выполненных объёмов производителями работ.</w:t>
                </w:r>
              </w:p>
            </w:tc>
          </w:tr>
        </w:tbl>
      </w:sdtContent>
    </w:sdt>
    <w:sdt>
      <w:sdtPr>
        <w:tag w:val="portfolio.block.021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22"/>
      </w:sdtPr>
      <w:sdtContent>
        <w:p>
          <w:r>
            <w:br w:type="page"/>
          </w:r>
        </w:p>
      </w:sdtContent>
    </w:sdt>
    <w:sdt>
      <w:sdtPr>
        <w:tag w:val="portfolio.block.023"/>
      </w:sdtPr>
      <w:sdtContent>
        <w:p>
          <w:pPr>
            <w:pStyle w:val="RunningTitle"/>
          </w:pPr>
          <w:r>
            <w:rPr/>
            <w:t>«Лахта Центр»</w:t>
          </w:r>
        </w:p>
      </w:sdtContent>
    </w:sdt>
    <w:sdt>
      <w:sdtPr>
        <w:tag w:val="portfolio.block.024"/>
      </w:sdtPr>
      <w:sdtContent>
        <w:p>
          <w:pPr>
            <w:pStyle w:val="Heading2"/>
          </w:pPr>
          <w:r>
            <w:rPr/>
            <w:t>Выполнено</w:t>
          </w:r>
        </w:p>
      </w:sdtContent>
    </w:sdt>
    <w:sdt>
      <w:sdtPr>
        <w:tag w:val="portfolio.block.025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4762"/>
            <w:gridCol w:w="340"/>
            <w:gridCol w:w="4762"/>
          </w:tblGrid>
          <w:tr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Инициировано создание совместной Revit-модели раздела.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Исполнители обучены работе в Revit.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Создана база Revit-семейств для задач исполнительной документации.</w:t>
                </w:r>
              </w:p>
            </w:tc>
          </w:tr>
        </w:tbl>
      </w:sdtContent>
    </w:sdt>
    <w:sdt>
      <w:sdtPr>
        <w:tag w:val="portfolio.block.026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27"/>
      </w:sdtPr>
      <w:sdtContent>
        <w:p>
          <w:pPr>
            <w:keepLines/>
            <w:spacing w:after="120"/>
          </w:pPr>
          <w:r>
            <w:drawing>
              <wp:inline xmlns:a="http://schemas.openxmlformats.org/drawingml/2006/main" xmlns:pic="http://schemas.openxmlformats.org/drawingml/2006/picture">
                <wp:extent cx="6264000" cy="4405378"/>
                <wp:docPr id="5" name="Picture 5" descr="technical-sheet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cal-sheet.png"/>
                        <pic:cNvPicPr/>
                      </pic:nvPicPr>
                      <pic:blipFill>
                        <a:blip r:embed="rId14"/>
                        <a:srcRect l="18000" t="4000" r="17000" b="500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4000" cy="440537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ortfolio.block.028"/>
      </w:sdtPr>
      <w:sdtContent>
        <w:p>
          <w:pPr>
            <w:spacing w:after="0" w:line="227" w:lineRule="exact"/>
          </w:pPr>
          <w:r>
            <w:rPr>
              <w:sz w:val="2"/>
            </w:rPr>
          </w:r>
        </w:p>
      </w:sdtContent>
    </w:sdt>
    <w:sdt>
      <w:sdtPr>
        <w:tag w:val="portfolio.block.029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4762"/>
            <w:gridCol w:w="340"/>
            <w:gridCol w:w="4762"/>
          </w:tblGrid>
          <w:tr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keepLines/>
                  <w:spacing w:after="12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3024000" cy="2268000"/>
                      <wp:docPr id="6" name="Picture 6" descr="lakhta-ventilation-overview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lakhta-ventilation-pending.png"/>
                              <pic:cNvPicPr/>
                            </pic:nvPicPr>
                            <pic:blipFill>
                              <a:blip r:embed="rId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24000" cy="226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Разработаны специализированные утилиты для автоматизированного сбора ведомостей и оформления исполнительных схем.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Согласована со строительным контролем передача и подтверждение части объёмов в цифровом формате.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Сформированы технические решения, выполнено согласование с авторским надзором и контроль реализации решений на площадке.</w:t>
                </w:r>
              </w:p>
            </w:tc>
          </w:tr>
        </w:tbl>
      </w:sdtContent>
    </w:sdt>
    <w:sdt>
      <w:sdtPr>
        <w:tag w:val="portfolio.block.030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31"/>
      </w:sdtPr>
      <w:sdtContent>
        <w:p>
          <w:r>
            <w:br w:type="page"/>
          </w:r>
        </w:p>
      </w:sdtContent>
    </w:sdt>
    <w:sdt>
      <w:sdtPr>
        <w:tag w:val="portfolio.block.032"/>
      </w:sdtPr>
      <w:sdtContent>
        <w:p>
          <w:pPr>
            <w:pStyle w:val="Title"/>
          </w:pPr>
          <w:r>
            <w:rPr/>
            <w:t>Прочие объекты</w:t>
          </w:r>
        </w:p>
      </w:sdtContent>
    </w:sdt>
    <w:sdt>
      <w:sdtPr>
        <w:tag w:val="portfolio.block.033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4762"/>
            <w:gridCol w:w="340"/>
            <w:gridCol w:w="4762"/>
          </w:tblGrid>
          <w:tr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Высотное здание в Москве, 60+ этажей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 расчёт теплопритоков в HAP 4.90.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Исходные данные сопоставлены со сводной моделью Navisworks.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Разработана утилита преобразования XLS-таблиц в формат, пригодный для автоматизированной загрузки данных через gbXML.</w:t>
                </w:r>
              </w:p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  <w:r>
                  <w:rPr>
                    <w:sz w:val="2"/>
                  </w:rPr>
                </w:r>
              </w:p>
              <w:p>
                <w:pPr>
                  <w:pStyle w:val="Heading2"/>
                </w:pPr>
                <w:r>
                  <w:rPr/>
                  <w:t>Жилой комплекс, г. Кингисепп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BIM-моделирование внутренних сетей ВК в Revit для трёх корпусов жилого комплекса.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Модели разработаны по исходной проектной документации DWG/PDF.</w:t>
                </w:r>
              </w:p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  <w:r>
                  <w:rPr>
                    <w:sz w:val="2"/>
                  </w:rPr>
                </w:r>
              </w:p>
              <w:p>
                <w:pPr>
                  <w:pStyle w:val="Heading2"/>
                </w:pPr>
                <w:r>
                  <w:rPr/>
                  <w:t>Аэропорт Левашово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Выполнены ведомости МТР.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Выполнена координация подрядных организаций и участие в производственных совещаниях.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Многофункциональный жилой комплекс на Шмитовском проезде, Москва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Выполнена адаптация проектных решений стадии ПД по вентиляции и кондиционированию офисных помещений корпусов 6 и 7 до рабочей документации.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Выпущены четыре комплекта РД: общеобменная вентиляция и кондиционирование корпусов 6 и 7.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 составе адаптации выполнены планы, аксонометрические схемы, спецификации и подбор оборудования.</w:t>
                </w:r>
              </w:p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  <w:r>
                  <w:rPr>
                    <w:sz w:val="2"/>
                  </w:rPr>
                </w:r>
              </w:p>
              <w:p>
                <w:pPr>
                  <w:pStyle w:val="Heading2"/>
                </w:pPr>
                <w:r>
                  <w:rPr/>
                  <w:t>ВОЛС, г. Сургут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Объект по прокладке ВОЛС на подряде у Газпрома доведён до финальной сдачи.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сопровождение исполнительной и закрывающей документации до КС-11 и КС-14.</w:t>
                </w:r>
              </w:p>
            </w:tc>
          </w:tr>
        </w:tbl>
      </w:sdtContent>
    </w:sdt>
    <w:sdt>
      <w:sdtPr>
        <w:tag w:val="portfolio.block.034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35"/>
      </w:sdtPr>
      <w:sdtContent>
        <w:p>
          <w:r>
            <w:br w:type="page"/>
          </w:r>
        </w:p>
      </w:sdtContent>
    </w:sdt>
    <w:sdt>
      <w:sdtPr>
        <w:tag w:val="portfolio.block.036"/>
      </w:sdtPr>
      <w:sdtContent>
        <w:p>
          <w:pPr>
            <w:pStyle w:val="Title"/>
          </w:pPr>
          <w:r>
            <w:rPr/>
            <w:t>WorkflowPanel</w:t>
          </w:r>
        </w:p>
      </w:sdtContent>
    </w:sdt>
    <w:sdt>
      <w:sdtPr>
        <w:tag w:val="portfolio.block.037"/>
      </w:sdtPr>
      <w:sdtContent>
        <w:p>
          <w:pPr>
            <w:pStyle w:val="Body"/>
          </w:pPr>
          <w:r>
            <w:rPr/>
            <w:t>Компактное Windows-приложение для контролируемого обмена файлами между локальным Git-репозиторием, deploy-каталогом и GitHub.</w:t>
          </w:r>
        </w:p>
      </w:sdtContent>
    </w:sdt>
    <w:sdt>
      <w:sdtPr>
        <w:tag w:val="portfolio.block.038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2494"/>
            <w:gridCol w:w="340"/>
            <w:gridCol w:w="7030"/>
          </w:tblGrid>
          <w:tr>
            <w:tc>
              <w:tcPr>
                <w:tcW w:type="dxa" w:w="2494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Архитектура и технологии</w:t>
                </w:r>
              </w:p>
              <w:p>
                <w:pPr>
                  <w:pStyle w:val="Tech"/>
                </w:pPr>
                <w:r>
                  <w:rPr/>
                  <w:t>Windows Forms.</w:t>
                </w:r>
              </w:p>
              <w:p>
                <w:pPr>
                  <w:pStyle w:val="Tech"/>
                </w:pPr>
                <w:r>
                  <w:rPr/>
                  <w:t>PowerShell с модульной структурой исходного кода.</w:t>
                </w:r>
              </w:p>
              <w:p>
                <w:pPr>
                  <w:pStyle w:val="Tech"/>
                </w:pPr>
                <w:r>
                  <w:rPr/>
                  <w:t>JSON-профили.</w:t>
                </w:r>
              </w:p>
              <w:p>
                <w:pPr>
                  <w:pStyle w:val="Tech"/>
                </w:pPr>
                <w:r>
                  <w:rPr/>
                  <w:t>Git и GitHub.</w:t>
                </w:r>
              </w:p>
              <w:p>
                <w:pPr>
                  <w:pStyle w:val="Tech"/>
                </w:pPr>
                <w:r>
                  <w:rPr/>
                  <w:t>Сборка самостоятельного Windows-приложения через PS2EXE.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703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keepLines/>
                  <w:spacing w:after="12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4464000" cy="2639840"/>
                      <wp:docPr id="7" name="Picture 7" descr="main-window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main-window.png"/>
                              <pic:cNvPicPr/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64000" cy="263984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</w:sdtContent>
    </w:sdt>
    <w:sdt>
      <w:sdtPr>
        <w:tag w:val="portfolio.block.039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portfolio.block.040"/>
      </w:sdtPr>
      <w:sdtContent>
        <w:p>
          <w:pPr>
            <w:spacing w:after="0" w:line="283" w:lineRule="exact"/>
          </w:pPr>
          <w:r>
            <w:rPr>
              <w:sz w:val="2"/>
            </w:rPr>
          </w:r>
        </w:p>
      </w:sdtContent>
    </w:sdt>
    <w:sdt>
      <w:sdtPr>
        <w:tag w:val="portfolio.block.041"/>
      </w:sdtPr>
      <w:sdtContent>
        <w:p>
          <w:pPr>
            <w:pStyle w:val="Heading2"/>
          </w:pPr>
          <w:r>
            <w:rPr/>
            <w:t>Реализовано</w:t>
          </w:r>
        </w:p>
      </w:sdtContent>
    </w:sdt>
    <w:sdt>
      <w:sdtPr>
        <w:tag w:val="portfolio.block.042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4762"/>
            <w:gridCol w:w="340"/>
            <w:gridCol w:w="4762"/>
          </w:tblGrid>
          <w:tr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Профили для отдельных репозиториев и рабочих процессов с независимыми правилами обмена в каждом направлении.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Четыре основные операции: To Deploy, From Deploy, To GitHub, From GitHub.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Безопасное выполнение Git-операций без автоматических stash, reset, clean, restore, merge и rebase.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Планирование изменений перед потенциально разрушающим импортом из deploy-каталога.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Работа с GitHub: проверка доступа, clone, fast-forward update, целевой commit и push.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Редактор профилей с настройкой путей, GitHub-параметров и правил переноса файлов.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Поддержка режимов exact, structural и flat, ограничений глубины, а также Current/Archive-сценариев.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Фоновое выполнение длительных операций с журналированием состояния и результатов.</w:t>
                </w:r>
              </w:p>
            </w:tc>
          </w:tr>
        </w:tbl>
      </w:sdtContent>
    </w:sdt>
    <w:sdt>
      <w:sdtPr>
        <w:tag w:val="portfolio.block.043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ectPr w:rsidR="00FC693F" w:rsidRPr="0006063C" w:rsidSect="00034616">
      <w:footerReference w:type="default" r:id="rId9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tabs>
        <w:tab w:pos="9581" w:val="left"/>
      </w:tabs>
      <w:spacing w:after="0"/>
    </w:pPr>
    <w:r>
      <w:t>Конорезов Владислав Сергеевич</w:t>
    </w:r>
    <w: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lvl w:ilvl="0">
      <w:start w:val="1"/>
      <w:numFmt w:val="bullet"/>
      <w:lvlText w:val="•"/>
      <w:lvlJc w:val="left"/>
    </w:lvl>
  </w:abstract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80" w:line="269" w:lineRule="auto"/>
    </w:pPr>
    <w:rPr>
      <w:rFonts w:ascii="Calibri" w:hAnsi="Calibri"/>
      <w:b w:val="0"/>
      <w:color w:val="202B31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0" w:after="160" w:line="269" w:lineRule="auto"/>
    </w:pPr>
    <w:rPr>
      <w:rFonts w:ascii="Cambria" w:hAnsi="Cambria"/>
      <w:b/>
      <w:color w:val="79523E"/>
      <w:sz w:val="34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120" w:line="269" w:lineRule="auto"/>
    </w:pPr>
    <w:rPr>
      <w:rFonts w:ascii="Calibri" w:hAnsi="Calibri"/>
      <w:b/>
      <w:color w:val="79523E"/>
      <w:sz w:val="24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</w:style>
  <w:style w:type="character" w:customStyle="1" w:styleId="Heading2Char">
    <w:name w:val="Heading 2 Char"/>
    <w:basedOn w:val="DefaultParagraphFont"/>
    <w:link w:val="Heading2"/>
    <w:uiPriority w:val="9"/>
    <w:rsid w:val="00FC693F"/>
  </w:style>
  <w:style w:type="character" w:customStyle="1" w:styleId="Heading3Char">
    <w:name w:val="Heading 3 Char"/>
    <w:basedOn w:val="DefaultParagraphFont"/>
    <w:link w:val="Heading3"/>
    <w:uiPriority w:val="9"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before="0" w:after="240" w:line="269" w:lineRule="auto"/>
    </w:pPr>
    <w:rPr>
      <w:rFonts w:ascii="Cambria" w:hAnsi="Cambria"/>
      <w:b w:val="0"/>
      <w:color w:val="000000"/>
      <w:sz w:val="58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</w:style>
  <w:style w:type="paragraph" w:styleId="Subtitle">
    <w:name w:val="Subtitle"/>
    <w:basedOn w:val="Normal"/>
    <w:next w:val="Normal"/>
    <w:link w:val="SubtitleChar"/>
    <w:uiPriority w:val="11"/>
    <w:qFormat/>
    <w:rsid w:val="00FC693F"/>
  </w:style>
  <w:style w:type="character" w:customStyle="1" w:styleId="SubtitleChar">
    <w:name w:val="Subtitle Char"/>
    <w:basedOn w:val="DefaultParagraphFont"/>
    <w:link w:val="Subtitle"/>
    <w:uiPriority w:val="11"/>
    <w:rsid w:val="00FC693F"/>
  </w:style>
  <w:style w:type="paragraph" w:styleId="ListParagraph">
    <w:name w:val="List Paragraph"/>
    <w:basedOn w:val="Normal"/>
    <w:uiPriority w:val="34"/>
    <w:qFormat/>
    <w:rsid w:val="00FC693F"/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</w:style>
  <w:style w:type="paragraph" w:styleId="List">
    <w:name w:val="List"/>
    <w:basedOn w:val="Normal"/>
    <w:uiPriority w:val="99"/>
    <w:unhideWhenUsed/>
    <w:rsid w:val="00AA1D8D"/>
  </w:style>
  <w:style w:type="paragraph" w:styleId="List2">
    <w:name w:val="List 2"/>
    <w:basedOn w:val="Normal"/>
    <w:uiPriority w:val="99"/>
    <w:unhideWhenUsed/>
    <w:rsid w:val="00326F90"/>
  </w:style>
  <w:style w:type="paragraph" w:styleId="List3">
    <w:name w:val="List 3"/>
    <w:basedOn w:val="Normal"/>
    <w:uiPriority w:val="99"/>
    <w:unhideWhenUsed/>
    <w:rsid w:val="00326F90"/>
  </w:style>
  <w:style w:type="paragraph" w:styleId="ListBullet">
    <w:name w:val="List Bullet"/>
    <w:basedOn w:val="Normal"/>
    <w:uiPriority w:val="99"/>
    <w:unhideWhenUsed/>
    <w:rsid w:val="00326F90"/>
  </w:style>
  <w:style w:type="paragraph" w:styleId="ListBullet2">
    <w:name w:val="List Bullet 2"/>
    <w:basedOn w:val="Normal"/>
    <w:uiPriority w:val="99"/>
    <w:unhideWhenUsed/>
    <w:rsid w:val="00326F90"/>
  </w:style>
  <w:style w:type="paragraph" w:styleId="ListBullet3">
    <w:name w:val="List Bullet 3"/>
    <w:basedOn w:val="Normal"/>
    <w:uiPriority w:val="99"/>
    <w:unhideWhenUsed/>
    <w:rsid w:val="00326F90"/>
  </w:style>
  <w:style w:type="paragraph" w:styleId="ListNumber">
    <w:name w:val="List Number"/>
    <w:basedOn w:val="Normal"/>
    <w:uiPriority w:val="99"/>
    <w:unhideWhenUsed/>
    <w:rsid w:val="00326F90"/>
  </w:style>
  <w:style w:type="paragraph" w:styleId="ListNumber2">
    <w:name w:val="List Number 2"/>
    <w:basedOn w:val="Normal"/>
    <w:uiPriority w:val="99"/>
    <w:unhideWhenUsed/>
    <w:rsid w:val="0029639D"/>
  </w:style>
  <w:style w:type="paragraph" w:styleId="ListNumber3">
    <w:name w:val="List Number 3"/>
    <w:basedOn w:val="Normal"/>
    <w:uiPriority w:val="99"/>
    <w:unhideWhenUsed/>
    <w:rsid w:val="0029639D"/>
  </w:style>
  <w:style w:type="paragraph" w:styleId="ListContinue">
    <w:name w:val="List Continue"/>
    <w:basedOn w:val="Normal"/>
    <w:uiPriority w:val="99"/>
    <w:unhideWhenUsed/>
    <w:rsid w:val="0029639D"/>
  </w:style>
  <w:style w:type="paragraph" w:styleId="ListContinue2">
    <w:name w:val="List Continue 2"/>
    <w:basedOn w:val="Normal"/>
    <w:uiPriority w:val="99"/>
    <w:unhideWhenUsed/>
    <w:rsid w:val="0029639D"/>
  </w:style>
  <w:style w:type="paragraph" w:styleId="ListContinue3">
    <w:name w:val="List Continue 3"/>
    <w:basedOn w:val="Normal"/>
    <w:uiPriority w:val="99"/>
    <w:unhideWhenUsed/>
    <w:rsid w:val="0029639D"/>
  </w:style>
  <w:style w:type="paragraph" w:styleId="MacroText">
    <w:name w:val="macro"/>
    <w:link w:val="MacroTextChar"/>
    <w:uiPriority w:val="99"/>
    <w:unhideWhenUsed/>
    <w:rsid w:val="0029639D"/>
  </w:style>
  <w:style w:type="character" w:customStyle="1" w:styleId="MacroTextChar">
    <w:name w:val="Macro Text Char"/>
    <w:basedOn w:val="DefaultParagraphFont"/>
    <w:link w:val="MacroText"/>
    <w:uiPriority w:val="99"/>
    <w:rsid w:val="0029639D"/>
  </w:style>
  <w:style w:type="paragraph" w:styleId="Quote">
    <w:name w:val="Quote"/>
    <w:basedOn w:val="Normal"/>
    <w:next w:val="Normal"/>
    <w:link w:val="QuoteChar"/>
    <w:uiPriority w:val="29"/>
    <w:qFormat/>
    <w:rsid w:val="00FC693F"/>
  </w:style>
  <w:style w:type="character" w:customStyle="1" w:styleId="QuoteChar">
    <w:name w:val="Quote Char"/>
    <w:basedOn w:val="DefaultParagraphFont"/>
    <w:link w:val="Quote"/>
    <w:uiPriority w:val="29"/>
    <w:rsid w:val="00FC693F"/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</w:style>
  <w:style w:type="character" w:styleId="Strong">
    <w:name w:val="Strong"/>
    <w:basedOn w:val="DefaultParagraphFont"/>
    <w:uiPriority w:val="22"/>
    <w:qFormat/>
    <w:rsid w:val="00FC693F"/>
  </w:style>
  <w:style w:type="character" w:styleId="Emphasis">
    <w:name w:val="Emphasis"/>
    <w:basedOn w:val="DefaultParagraphFont"/>
    <w:uiPriority w:val="20"/>
    <w:qFormat/>
    <w:rsid w:val="00FC693F"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</w:style>
  <w:style w:type="character" w:styleId="SubtleEmphasis">
    <w:name w:val="Subtle Emphasis"/>
    <w:basedOn w:val="DefaultParagraphFont"/>
    <w:uiPriority w:val="19"/>
    <w:qFormat/>
    <w:rsid w:val="00FC693F"/>
  </w:style>
  <w:style w:type="character" w:styleId="IntenseEmphasis">
    <w:name w:val="Intense Emphasis"/>
    <w:basedOn w:val="DefaultParagraphFont"/>
    <w:uiPriority w:val="21"/>
    <w:qFormat/>
    <w:rsid w:val="00FC693F"/>
  </w:style>
  <w:style w:type="character" w:styleId="SubtleReference">
    <w:name w:val="Subtle Reference"/>
    <w:basedOn w:val="DefaultParagraphFont"/>
    <w:uiPriority w:val="31"/>
    <w:qFormat/>
    <w:rsid w:val="00FC693F"/>
  </w:style>
  <w:style w:type="character" w:styleId="IntenseReference">
    <w:name w:val="Intense Reference"/>
    <w:basedOn w:val="DefaultParagraphFont"/>
    <w:uiPriority w:val="32"/>
    <w:qFormat/>
    <w:rsid w:val="00FC693F"/>
  </w:style>
  <w:style w:type="character" w:styleId="BookTitle">
    <w:name w:val="Book Title"/>
    <w:basedOn w:val="DefaultParagraphFont"/>
    <w:uiPriority w:val="33"/>
    <w:qFormat/>
    <w:rsid w:val="00FC693F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keepNext w:val="0"/>
      <w:keepLines/>
      <w:widowControl/>
      <w:spacing w:before="0" w:after="80" w:line="269" w:lineRule="auto"/>
    </w:pPr>
    <w:rPr>
      <w:rFonts w:ascii="Calibri" w:hAnsi="Calibri"/>
      <w:b w:val="0"/>
      <w:color w:val="202B31"/>
      <w:sz w:val="22"/>
      <w:lang w:val="ru-RU"/>
    </w:rPr>
  </w:style>
  <w:style w:type="paragraph" w:customStyle="1" w:styleId="Meta">
    <w:name w:val="Meta"/>
    <w:pPr>
      <w:keepNext w:val="0"/>
      <w:keepLines/>
      <w:widowControl/>
      <w:spacing w:before="0" w:after="120" w:line="269" w:lineRule="auto"/>
    </w:pPr>
    <w:rPr>
      <w:rFonts w:ascii="Calibri" w:hAnsi="Calibri"/>
      <w:b w:val="0"/>
      <w:color w:val="536269"/>
      <w:sz w:val="19"/>
      <w:lang w:val="ru-RU"/>
    </w:rPr>
  </w:style>
  <w:style w:type="paragraph" w:customStyle="1" w:styleId="Tech">
    <w:name w:val="Tech"/>
    <w:pPr>
      <w:keepNext w:val="0"/>
      <w:keepLines/>
      <w:widowControl/>
      <w:spacing w:before="0" w:after="40" w:line="269" w:lineRule="auto"/>
    </w:pPr>
    <w:rPr>
      <w:rFonts w:ascii="Calibri" w:hAnsi="Calibri"/>
      <w:b w:val="0"/>
      <w:color w:val="536269"/>
      <w:sz w:val="20"/>
      <w:lang w:val="ru-RU"/>
    </w:rPr>
  </w:style>
  <w:style w:type="paragraph" w:customStyle="1" w:styleId="NarrowTitle">
    <w:name w:val="NarrowTitle"/>
    <w:pPr>
      <w:keepNext/>
      <w:keepLines/>
      <w:widowControl/>
      <w:spacing w:before="0" w:after="240" w:line="269" w:lineRule="auto"/>
    </w:pPr>
    <w:rPr>
      <w:rFonts w:ascii="Cambria" w:hAnsi="Cambria"/>
      <w:b/>
      <w:color w:val="000000"/>
      <w:sz w:val="42"/>
      <w:lang w:val="ru-RU"/>
    </w:rPr>
  </w:style>
  <w:style w:type="paragraph" w:customStyle="1" w:styleId="RunningTitle">
    <w:name w:val="RunningTitle"/>
    <w:pPr>
      <w:keepNext/>
      <w:keepLines/>
      <w:widowControl/>
      <w:spacing w:before="0" w:after="240" w:line="269" w:lineRule="auto"/>
    </w:pPr>
    <w:rPr>
      <w:rFonts w:ascii="Cambria" w:hAnsi="Cambria"/>
      <w:b w:val="0"/>
      <w:color w:val="000000"/>
      <w:sz w:val="42"/>
      <w:lang w:val="ru-RU"/>
    </w:rPr>
  </w:style>
  <w:style w:type="paragraph" w:customStyle="1" w:styleId="Kicker">
    <w:name w:val="Kicker"/>
    <w:pPr>
      <w:keepNext/>
      <w:keepLines/>
      <w:widowControl/>
      <w:spacing w:before="0" w:after="160" w:line="269" w:lineRule="auto"/>
    </w:pPr>
    <w:rPr>
      <w:rFonts w:ascii="Calibri" w:hAnsi="Calibri"/>
      <w:b/>
      <w:color w:val="79523E"/>
      <w:sz w:val="18"/>
      <w:lang w:val="ru-RU"/>
    </w:rPr>
  </w:style>
  <w:style w:type="paragraph" w:customStyle="1" w:styleId="Bullet">
    <w:name w:val="Bullet"/>
    <w:pPr>
      <w:keepNext w:val="0"/>
      <w:keepLines/>
      <w:widowControl/>
      <w:spacing w:before="0" w:after="80" w:line="269" w:lineRule="auto"/>
      <w:ind w:left="170" w:hanging="170"/>
    </w:pPr>
    <w:rPr>
      <w:rFonts w:ascii="Calibri" w:hAnsi="Calibri"/>
      <w:b w:val="0"/>
      <w:color w:val="202B31"/>
      <w:sz w:val="22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</dc:title>
  <dc:subject>Концепция E</dc:subject>
  <dc:creator>Конорезов Владислав Сергеевич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